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EF" w:rsidRPr="00E84D06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Бюлетень</w:t>
      </w:r>
    </w:p>
    <w:p w:rsidR="003961EF" w:rsidRPr="00E84D06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для голосування (щодо інших питань порядку денного, крім обрання органів товариства), на дистанційних річних Загальних зборах акціонерів Приватного  акціонерного товариства «</w:t>
      </w:r>
      <w:proofErr w:type="spellStart"/>
      <w:r w:rsidR="00411F0E"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Шосткинське</w:t>
      </w:r>
      <w:proofErr w:type="spellEnd"/>
      <w:r w:rsidR="00411F0E"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 xml:space="preserve"> хлібоприймальне підприємство</w:t>
      </w: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»</w:t>
      </w:r>
    </w:p>
    <w:tbl>
      <w:tblPr>
        <w:tblStyle w:val="aa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Повне найменування товариства</w:t>
            </w:r>
            <w:r w:rsidR="004A647F"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,</w:t>
            </w:r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ідентифікаційний</w:t>
            </w:r>
            <w:proofErr w:type="spellEnd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код </w:t>
            </w:r>
            <w:proofErr w:type="spellStart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юридичної</w:t>
            </w:r>
            <w:proofErr w:type="spellEnd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особи</w:t>
            </w:r>
            <w:r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Приватне  акціонерне товариство «</w:t>
            </w:r>
            <w:proofErr w:type="spellStart"/>
            <w:r w:rsidR="00411F0E" w:rsidRPr="00E84D06">
              <w:rPr>
                <w:rFonts w:ascii="Times New Roman" w:hAnsi="Times New Roman" w:cs="Times New Roman"/>
                <w:sz w:val="19"/>
                <w:szCs w:val="19"/>
              </w:rPr>
              <w:t>Шосткинське</w:t>
            </w:r>
            <w:proofErr w:type="spellEnd"/>
            <w:r w:rsidR="00411F0E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11F0E" w:rsidRPr="00E84D06">
              <w:rPr>
                <w:rFonts w:ascii="Times New Roman" w:hAnsi="Times New Roman" w:cs="Times New Roman"/>
                <w:sz w:val="19"/>
                <w:szCs w:val="19"/>
              </w:rPr>
              <w:t>хлібоприймальне</w:t>
            </w:r>
            <w:proofErr w:type="spellEnd"/>
            <w:r w:rsidR="00411F0E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11F0E" w:rsidRPr="00E84D06">
              <w:rPr>
                <w:rFonts w:ascii="Times New Roman" w:hAnsi="Times New Roman" w:cs="Times New Roman"/>
                <w:sz w:val="19"/>
                <w:szCs w:val="19"/>
              </w:rPr>
              <w:t>підприємство</w:t>
            </w:r>
            <w:proofErr w:type="spellEnd"/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  <w:r w:rsidR="004A647F"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00955928</w:t>
            </w:r>
          </w:p>
        </w:tc>
      </w:tr>
      <w:tr w:rsidR="00F72639" w:rsidRPr="00E84D0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639" w:rsidRPr="00E84D06" w:rsidRDefault="00F72639" w:rsidP="00F7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Дата проведення чергових загальних зборів: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39" w:rsidRPr="00E84D06" w:rsidRDefault="009F72FB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F726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квітня</w:t>
            </w:r>
            <w:r w:rsidR="00F7263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</w:t>
            </w:r>
            <w:r w:rsidR="00F7263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F72639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F72639" w:rsidRPr="00E84D06" w:rsidRDefault="00F72639" w:rsidP="00F7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початку 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="00BB291F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39" w:rsidRPr="008A53CB" w:rsidRDefault="00502FD2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1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502FD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F7263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72639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березня</w:t>
            </w:r>
            <w:r w:rsidR="00F7263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202</w:t>
            </w:r>
            <w:r w:rsidRPr="00502FD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BB291F">
              <w:rPr>
                <w:rFonts w:ascii="Times New Roman" w:hAnsi="Times New Roman" w:cs="Times New Roman"/>
                <w:sz w:val="19"/>
                <w:szCs w:val="19"/>
              </w:rPr>
              <w:t xml:space="preserve"> року о 11</w:t>
            </w:r>
            <w:r w:rsidR="00F7263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год. 00 </w:t>
            </w:r>
            <w:proofErr w:type="spellStart"/>
            <w:r w:rsidR="00F72639" w:rsidRPr="00E84D06">
              <w:rPr>
                <w:rFonts w:ascii="Times New Roman" w:hAnsi="Times New Roman" w:cs="Times New Roman"/>
                <w:sz w:val="19"/>
                <w:szCs w:val="19"/>
              </w:rPr>
              <w:t>хв</w:t>
            </w:r>
            <w:proofErr w:type="spellEnd"/>
            <w:r w:rsidR="008A53C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.</w:t>
            </w:r>
          </w:p>
        </w:tc>
      </w:tr>
      <w:tr w:rsidR="00F72639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F72639" w:rsidRPr="00BB291F" w:rsidRDefault="00F72639" w:rsidP="00F7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завершення</w:t>
            </w:r>
            <w:proofErr w:type="spellEnd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="00BB291F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39" w:rsidRPr="00E84D06" w:rsidRDefault="009F72FB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F7263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квітня</w:t>
            </w:r>
            <w:r w:rsidR="00F7263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 w:rsidR="00502FD2" w:rsidRPr="009D5B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F7263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р.  о 18 год. 00 хв.</w:t>
            </w:r>
          </w:p>
        </w:tc>
      </w:tr>
      <w:tr w:rsidR="00EF6398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E84D06" w:rsidRDefault="00EF6398" w:rsidP="00E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заповнення бюлетеня акціонером  (представником акціонера):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E84D06" w:rsidRDefault="00EF639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b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/Найменування  акціонера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акціонера (для фізичної особи</w:t>
            </w:r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), 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55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податків (для акціонера – фізичної особи (за наявності)) або</w:t>
            </w:r>
            <w:r w:rsidR="00552642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2642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c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 представника акціонера 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</w:t>
            </w:r>
            <w:r w:rsidR="005A65D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фізичну</w:t>
            </w: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особу представника акціонера  або особу представника юридичної особи – представника акціонера (для фізичної особи)</w:t>
            </w:r>
            <w:r w:rsidR="003479F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3479FF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479F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97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 податків (для представника акціонера – фізичної  особи (за наявності) або для фізичної особи – представника юридичної особи – представника акціонера (за наявності) та за наявності ідентифікаційний код юридичної особи – представника акціонера (</w:t>
            </w:r>
            <w:r w:rsidR="00975622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3961EF" w:rsidRPr="00E84D06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tbl>
      <w:tblPr>
        <w:tblStyle w:val="ad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2"/>
        <w:gridCol w:w="6140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Кількість простих голосуючих акцій (кількість голосів), що належать акціонеру:</w:t>
            </w:r>
          </w:p>
        </w:tc>
      </w:tr>
      <w:tr w:rsidR="003961EF" w:rsidRPr="00E84D06" w:rsidTr="00E84D06">
        <w:trPr>
          <w:trHeight w:val="159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3961EF" w:rsidP="00E84D06">
            <w:pPr>
              <w:ind w:leftChars="0" w:left="0" w:firstLineChars="0" w:firstLine="7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83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832E0E" w:rsidP="0083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прописом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) 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числом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</w:p>
        </w:tc>
      </w:tr>
    </w:tbl>
    <w:tbl>
      <w:tblPr>
        <w:tblStyle w:val="ae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1"/>
      </w:tblGrid>
      <w:tr w:rsidR="003961EF" w:rsidRPr="00E84D06" w:rsidTr="007D63E1">
        <w:trPr>
          <w:trHeight w:val="642"/>
        </w:trPr>
        <w:tc>
          <w:tcPr>
            <w:tcW w:w="10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1EF" w:rsidRPr="00E84D06" w:rsidRDefault="001267D5" w:rsidP="001267D5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Бюлетень має бути підписаний</w:t>
            </w:r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акціонером (представником акціонера) та має містити реквізити акціонера  (представника акціонера) та найменування юридичної особи у разі, якщо вона є акціонером. За відсутності таких реквізитів і підпису (-</w:t>
            </w:r>
            <w:proofErr w:type="spellStart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ів</w:t>
            </w:r>
            <w:proofErr w:type="spellEnd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) бюлетень вважається недійсним і не враховується під час підрахунку голосів. Бюлетень може бути заповнений </w:t>
            </w:r>
            <w:proofErr w:type="spellStart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машинодруком</w:t>
            </w:r>
            <w:proofErr w:type="spellEnd"/>
            <w:r w:rsidR="007D63E1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.</w:t>
            </w:r>
          </w:p>
        </w:tc>
      </w:tr>
    </w:tbl>
    <w:p w:rsidR="003961EF" w:rsidRPr="004A647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  <w:lang w:val="uk-UA"/>
              </w:rPr>
              <w:t>Питання, винесені на голосування, та проект(и) рішення кожного із питань,  порядку денного загальних зборів</w:t>
            </w: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3961EF" w:rsidRPr="004A647F">
        <w:trPr>
          <w:trHeight w:val="53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1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0A6E1F" w:rsidP="00F7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0A6E1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директора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0A6E1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прийняття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0A6E1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шення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результатами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розгляду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такого</w:t>
            </w:r>
            <w:r w:rsidRPr="000A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0A6E1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A6E1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rPr>
          <w:trHeight w:val="474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2A3B16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2A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2A3B16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</w:t>
            </w:r>
            <w:r w:rsidRPr="002A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Директора</w:t>
            </w:r>
            <w:r w:rsidRPr="002A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2A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A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2A3B16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2A3B16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E87110">
        <w:tc>
          <w:tcPr>
            <w:tcW w:w="3256" w:type="dxa"/>
            <w:vMerge w:val="restart"/>
          </w:tcPr>
          <w:p w:rsidR="00E87110" w:rsidRPr="004A647F" w:rsidRDefault="00E87110" w:rsidP="00DD4955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E87110">
        <w:tc>
          <w:tcPr>
            <w:tcW w:w="3256" w:type="dxa"/>
            <w:vMerge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4A65F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D63E1" w:rsidRPr="004A647F" w:rsidRDefault="007D63E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C7D9F" w:rsidRPr="004A647F" w:rsidRDefault="007D63E1" w:rsidP="001267D5">
      <w:pPr>
        <w:tabs>
          <w:tab w:val="left" w:pos="3268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="001267D5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  <w:r w:rsidR="007D63E1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>________________________________ /___________________________________________________/</w:t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1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3961EF" w:rsidRPr="004A647F" w:rsidRDefault="003961E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502FD2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502FD2" w:rsidRPr="004A647F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Pr="004A647F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A647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</w:t>
      </w:r>
    </w:p>
    <w:tbl>
      <w:tblPr>
        <w:tblStyle w:val="af0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2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6B682C" w:rsidP="00F7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6B682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6B682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6B682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прийняття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6B682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шення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результатами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розгляду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такого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6B682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B682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 w:rsidRPr="006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480275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48027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48027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48027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48027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48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C37972">
        <w:tc>
          <w:tcPr>
            <w:tcW w:w="3256" w:type="dxa"/>
            <w:vMerge w:val="restart"/>
          </w:tcPr>
          <w:p w:rsidR="00E87110" w:rsidRPr="004A647F" w:rsidRDefault="00E87110" w:rsidP="00C3797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C37972">
        <w:tc>
          <w:tcPr>
            <w:tcW w:w="3256" w:type="dxa"/>
            <w:vMerge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D63E1" w:rsidRDefault="007D63E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C22C9C" w:rsidRDefault="00C22C9C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C22C9C" w:rsidRDefault="00C22C9C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C22C9C" w:rsidRPr="004A647F" w:rsidRDefault="00C22C9C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C7D9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1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3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C9122B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Затвердження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нансово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господарсько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нансових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розпод</w:t>
            </w:r>
            <w:r w:rsidRPr="00C9122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л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прибутку</w:t>
            </w:r>
            <w:r w:rsidRPr="00C9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9122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товариства</w:t>
            </w:r>
            <w:r w:rsidR="00D97FC7" w:rsidRPr="00D97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9B" w:rsidRPr="004A647F" w:rsidRDefault="00EA16DA" w:rsidP="009D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результати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нансово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господарсько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ти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наступний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порядок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розпод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лу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прибутку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товариства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: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прибуток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отриманий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Товариством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результатом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9D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направити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поповнення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об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гових</w:t>
            </w:r>
            <w:r w:rsidRPr="00EA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кошт</w:t>
            </w:r>
            <w:r w:rsidRPr="00EA16D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EA16D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 товариства.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C37972">
        <w:tc>
          <w:tcPr>
            <w:tcW w:w="3256" w:type="dxa"/>
            <w:vMerge w:val="restart"/>
          </w:tcPr>
          <w:p w:rsidR="00E87110" w:rsidRPr="004A647F" w:rsidRDefault="00E87110" w:rsidP="00C3797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C37972">
        <w:tc>
          <w:tcPr>
            <w:tcW w:w="3256" w:type="dxa"/>
            <w:vMerge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961E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502FD2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502FD2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1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502FD2" w:rsidRPr="004A647F" w:rsidTr="000D17D4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FD2" w:rsidRPr="004A647F" w:rsidRDefault="00502FD2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502F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D2" w:rsidRPr="00933C3B" w:rsidRDefault="00502FD2" w:rsidP="00502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int="eastAsia"/>
                <w:color w:val="000000"/>
                <w:sz w:val="20"/>
                <w:szCs w:val="20"/>
              </w:rPr>
            </w:pPr>
            <w:proofErr w:type="spellStart"/>
            <w:r w:rsidRPr="00933C3B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рішення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припинення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повноважень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голови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членів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наглядової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ради.</w:t>
            </w:r>
          </w:p>
          <w:p w:rsidR="00502FD2" w:rsidRPr="004A647F" w:rsidRDefault="00502FD2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02FD2" w:rsidRPr="004A647F" w:rsidTr="000D17D4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502FD2" w:rsidRPr="00502FD2" w:rsidRDefault="00502FD2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з питання порядку денного № </w:t>
            </w:r>
            <w:r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D2" w:rsidRPr="00502FD2" w:rsidRDefault="00502FD2" w:rsidP="00502FD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Припинити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повноваження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</w:t>
            </w:r>
            <w:r w:rsidRPr="00933C3B">
              <w:rPr>
                <w:sz w:val="20"/>
                <w:szCs w:val="20"/>
              </w:rPr>
              <w:t>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 у </w:t>
            </w:r>
            <w:proofErr w:type="spellStart"/>
            <w:r w:rsidRPr="00933C3B">
              <w:rPr>
                <w:sz w:val="20"/>
                <w:szCs w:val="20"/>
              </w:rPr>
              <w:t>наступному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складі</w:t>
            </w:r>
            <w:proofErr w:type="spellEnd"/>
            <w:r w:rsidRPr="00933C3B">
              <w:rPr>
                <w:sz w:val="20"/>
                <w:szCs w:val="20"/>
              </w:rPr>
              <w:t xml:space="preserve">: </w:t>
            </w:r>
            <w:proofErr w:type="spellStart"/>
            <w:r w:rsidRPr="00D061FB">
              <w:rPr>
                <w:sz w:val="20"/>
                <w:szCs w:val="20"/>
              </w:rPr>
              <w:t>Івченко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Олександр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Анатолійович</w:t>
            </w:r>
            <w:proofErr w:type="spellEnd"/>
            <w:r w:rsidRPr="00D061FB">
              <w:rPr>
                <w:sz w:val="20"/>
                <w:szCs w:val="20"/>
              </w:rPr>
              <w:t xml:space="preserve"> – голова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ради, </w:t>
            </w:r>
            <w:proofErr w:type="spellStart"/>
            <w:r w:rsidRPr="00D061FB">
              <w:rPr>
                <w:sz w:val="20"/>
                <w:szCs w:val="20"/>
              </w:rPr>
              <w:t>Синегуб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Віктор</w:t>
            </w:r>
            <w:proofErr w:type="spellEnd"/>
            <w:r w:rsidRPr="00D061FB">
              <w:rPr>
                <w:sz w:val="20"/>
                <w:szCs w:val="20"/>
              </w:rPr>
              <w:t xml:space="preserve"> Михайлович – член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ради, Ляшенко </w:t>
            </w:r>
            <w:proofErr w:type="spellStart"/>
            <w:r w:rsidRPr="00D061FB">
              <w:rPr>
                <w:sz w:val="20"/>
                <w:szCs w:val="20"/>
              </w:rPr>
              <w:t>Віктор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Іванович</w:t>
            </w:r>
            <w:proofErr w:type="spellEnd"/>
            <w:r w:rsidRPr="00D061FB">
              <w:rPr>
                <w:sz w:val="20"/>
                <w:szCs w:val="20"/>
              </w:rPr>
              <w:t xml:space="preserve"> – член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ради.  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502FD2" w:rsidRPr="004A647F" w:rsidTr="000D17D4">
        <w:tc>
          <w:tcPr>
            <w:tcW w:w="3256" w:type="dxa"/>
            <w:vMerge w:val="restart"/>
          </w:tcPr>
          <w:p w:rsidR="00502FD2" w:rsidRPr="004A647F" w:rsidRDefault="00502FD2" w:rsidP="000D17D4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502FD2" w:rsidRPr="004A647F" w:rsidTr="000D17D4">
        <w:tc>
          <w:tcPr>
            <w:tcW w:w="3256" w:type="dxa"/>
            <w:vMerge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502FD2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502FD2" w:rsidRDefault="00502FD2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1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502FD2" w:rsidRPr="004A647F" w:rsidTr="000D17D4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FD2" w:rsidRPr="004A647F" w:rsidRDefault="00502FD2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502F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D2" w:rsidRPr="004A647F" w:rsidRDefault="00CE7CCC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Затвердження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умов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договор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контракт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),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що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укладаються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членами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встановлення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розм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ру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х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винагороди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обрання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особи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уповноважено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дписання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договор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контракт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членами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CE7CCC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E7CCC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CE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502FD2" w:rsidRPr="004A647F" w:rsidTr="000D17D4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502FD2" w:rsidRPr="00502FD2" w:rsidRDefault="00502FD2" w:rsidP="000D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з питання порядку денного № </w:t>
            </w:r>
            <w:r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D2" w:rsidRPr="00502FD2" w:rsidRDefault="00502FD2" w:rsidP="00502FD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61FB">
              <w:rPr>
                <w:sz w:val="20"/>
                <w:szCs w:val="20"/>
              </w:rPr>
              <w:t>Затвердити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умови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договорів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gramStart"/>
            <w:r w:rsidRPr="00D061FB">
              <w:rPr>
                <w:sz w:val="20"/>
                <w:szCs w:val="20"/>
              </w:rPr>
              <w:t>з  головою</w:t>
            </w:r>
            <w:proofErr w:type="gramEnd"/>
            <w:r w:rsidRPr="00D061FB">
              <w:rPr>
                <w:sz w:val="20"/>
                <w:szCs w:val="20"/>
              </w:rPr>
              <w:t xml:space="preserve"> та членами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ради. </w:t>
            </w:r>
            <w:proofErr w:type="spellStart"/>
            <w:r w:rsidRPr="00D061FB">
              <w:rPr>
                <w:sz w:val="20"/>
                <w:szCs w:val="20"/>
              </w:rPr>
              <w:t>Встановити</w:t>
            </w:r>
            <w:proofErr w:type="spellEnd"/>
            <w:r w:rsidRPr="00D061FB">
              <w:rPr>
                <w:sz w:val="20"/>
                <w:szCs w:val="20"/>
              </w:rPr>
              <w:t xml:space="preserve">, </w:t>
            </w:r>
            <w:proofErr w:type="spellStart"/>
            <w:r w:rsidRPr="00D061FB">
              <w:rPr>
                <w:sz w:val="20"/>
                <w:szCs w:val="20"/>
              </w:rPr>
              <w:t>що</w:t>
            </w:r>
            <w:proofErr w:type="spellEnd"/>
            <w:r w:rsidRPr="00D061FB">
              <w:rPr>
                <w:sz w:val="20"/>
                <w:szCs w:val="20"/>
              </w:rPr>
              <w:t xml:space="preserve"> голова </w:t>
            </w:r>
            <w:proofErr w:type="gramStart"/>
            <w:r w:rsidRPr="00D061FB">
              <w:rPr>
                <w:sz w:val="20"/>
                <w:szCs w:val="20"/>
              </w:rPr>
              <w:t>та  члени</w:t>
            </w:r>
            <w:proofErr w:type="gram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 </w:t>
            </w:r>
            <w:proofErr w:type="spellStart"/>
            <w:r w:rsidRPr="00D061FB">
              <w:rPr>
                <w:sz w:val="20"/>
                <w:szCs w:val="20"/>
              </w:rPr>
              <w:t>Товариства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виконуватимуть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покладені</w:t>
            </w:r>
            <w:proofErr w:type="spellEnd"/>
            <w:r w:rsidRPr="00D061FB">
              <w:rPr>
                <w:sz w:val="20"/>
                <w:szCs w:val="20"/>
              </w:rPr>
              <w:t xml:space="preserve"> на них </w:t>
            </w:r>
            <w:proofErr w:type="spellStart"/>
            <w:r w:rsidRPr="00D061FB">
              <w:rPr>
                <w:sz w:val="20"/>
                <w:szCs w:val="20"/>
              </w:rPr>
              <w:t>функції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безоплатно</w:t>
            </w:r>
            <w:proofErr w:type="spellEnd"/>
            <w:r w:rsidRPr="00D061FB">
              <w:rPr>
                <w:sz w:val="20"/>
                <w:szCs w:val="20"/>
              </w:rPr>
              <w:t xml:space="preserve"> (без </w:t>
            </w:r>
            <w:proofErr w:type="spellStart"/>
            <w:r w:rsidRPr="00D061FB">
              <w:rPr>
                <w:sz w:val="20"/>
                <w:szCs w:val="20"/>
              </w:rPr>
              <w:t>виплати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винагороди</w:t>
            </w:r>
            <w:proofErr w:type="spellEnd"/>
            <w:r w:rsidRPr="00D061FB">
              <w:rPr>
                <w:sz w:val="20"/>
                <w:szCs w:val="20"/>
              </w:rPr>
              <w:t xml:space="preserve">). </w:t>
            </w:r>
            <w:proofErr w:type="spellStart"/>
            <w:r w:rsidRPr="00D061FB">
              <w:rPr>
                <w:sz w:val="20"/>
                <w:szCs w:val="20"/>
              </w:rPr>
              <w:t>Уповноважити</w:t>
            </w:r>
            <w:proofErr w:type="spellEnd"/>
            <w:r w:rsidRPr="00D061FB">
              <w:rPr>
                <w:sz w:val="20"/>
                <w:szCs w:val="20"/>
              </w:rPr>
              <w:t xml:space="preserve"> Директора </w:t>
            </w:r>
            <w:proofErr w:type="spellStart"/>
            <w:r w:rsidRPr="00D061FB">
              <w:rPr>
                <w:sz w:val="20"/>
                <w:szCs w:val="20"/>
              </w:rPr>
              <w:t>Товариства</w:t>
            </w:r>
            <w:proofErr w:type="spellEnd"/>
            <w:r w:rsidRPr="00D061FB">
              <w:rPr>
                <w:sz w:val="20"/>
                <w:szCs w:val="20"/>
              </w:rPr>
              <w:t xml:space="preserve"> </w:t>
            </w:r>
            <w:proofErr w:type="spellStart"/>
            <w:r w:rsidRPr="00D061FB">
              <w:rPr>
                <w:sz w:val="20"/>
                <w:szCs w:val="20"/>
              </w:rPr>
              <w:t>укласти</w:t>
            </w:r>
            <w:proofErr w:type="spellEnd"/>
            <w:r w:rsidRPr="00D061FB">
              <w:rPr>
                <w:sz w:val="20"/>
                <w:szCs w:val="20"/>
              </w:rPr>
              <w:t xml:space="preserve"> та </w:t>
            </w:r>
            <w:proofErr w:type="spellStart"/>
            <w:r w:rsidRPr="00D061FB">
              <w:rPr>
                <w:sz w:val="20"/>
                <w:szCs w:val="20"/>
              </w:rPr>
              <w:t>підписати</w:t>
            </w:r>
            <w:proofErr w:type="spellEnd"/>
            <w:r w:rsidRPr="00D061FB">
              <w:rPr>
                <w:sz w:val="20"/>
                <w:szCs w:val="20"/>
              </w:rPr>
              <w:t xml:space="preserve"> договори з головою та членами </w:t>
            </w:r>
            <w:proofErr w:type="spellStart"/>
            <w:r w:rsidRPr="00D061FB">
              <w:rPr>
                <w:sz w:val="20"/>
                <w:szCs w:val="20"/>
              </w:rPr>
              <w:t>наглядової</w:t>
            </w:r>
            <w:proofErr w:type="spellEnd"/>
            <w:r w:rsidRPr="00D061FB">
              <w:rPr>
                <w:sz w:val="20"/>
                <w:szCs w:val="20"/>
              </w:rPr>
              <w:t xml:space="preserve"> ради.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502FD2" w:rsidRPr="004A647F" w:rsidTr="000D17D4">
        <w:tc>
          <w:tcPr>
            <w:tcW w:w="3256" w:type="dxa"/>
            <w:vMerge w:val="restart"/>
          </w:tcPr>
          <w:p w:rsidR="00502FD2" w:rsidRPr="004A647F" w:rsidRDefault="00502FD2" w:rsidP="000D17D4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502FD2" w:rsidRPr="004A647F" w:rsidTr="000D17D4">
        <w:tc>
          <w:tcPr>
            <w:tcW w:w="3256" w:type="dxa"/>
            <w:vMerge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502FD2" w:rsidRPr="004A647F" w:rsidRDefault="00502FD2" w:rsidP="000D17D4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C7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0" w:name="_GoBack"/>
      <w:bookmarkEnd w:id="0"/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________________________________ /___________________________________________________/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35"/>
      </w:tblGrid>
      <w:tr w:rsidR="003961EF" w:rsidRPr="004A647F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502FD2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502F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9C7D9F"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2F5901" w:rsidRDefault="006D5445" w:rsidP="00937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Прийняття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шення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про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попередн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є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надання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згоди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вчинення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значних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правочин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як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можуть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вчинятися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товариством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протягом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не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б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льш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як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одного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року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дати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прийняття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такого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6D5445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6D544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шення</w:t>
            </w:r>
            <w:r w:rsidRPr="006D5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502FD2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 w:rsid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з питання порядку денного № </w:t>
            </w:r>
            <w:r w:rsidR="00502FD2" w:rsidRPr="00502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proofErr w:type="spellStart"/>
            <w:r w:rsidRPr="00FA1D42">
              <w:rPr>
                <w:sz w:val="20"/>
                <w:szCs w:val="20"/>
              </w:rPr>
              <w:t>Попередньо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надати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згоду</w:t>
            </w:r>
            <w:proofErr w:type="spellEnd"/>
            <w:r w:rsidRPr="00FA1D42">
              <w:rPr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FA1D42">
              <w:rPr>
                <w:sz w:val="20"/>
                <w:szCs w:val="20"/>
              </w:rPr>
              <w:t>вчинення</w:t>
            </w:r>
            <w:proofErr w:type="spellEnd"/>
            <w:r w:rsidRPr="00FA1D42">
              <w:rPr>
                <w:sz w:val="20"/>
                <w:szCs w:val="20"/>
              </w:rPr>
              <w:t xml:space="preserve"> 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proofErr w:type="gramEnd"/>
            <w:r w:rsidRPr="00FA1D42">
              <w:rPr>
                <w:sz w:val="20"/>
                <w:szCs w:val="20"/>
              </w:rPr>
              <w:t xml:space="preserve"> 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,  </w:t>
            </w:r>
            <w:proofErr w:type="spellStart"/>
            <w:r w:rsidRPr="00FA1D42">
              <w:rPr>
                <w:sz w:val="20"/>
                <w:szCs w:val="20"/>
              </w:rPr>
              <w:t>які</w:t>
            </w:r>
            <w:proofErr w:type="spellEnd"/>
            <w:r w:rsidRPr="00FA1D42">
              <w:rPr>
                <w:sz w:val="20"/>
                <w:szCs w:val="20"/>
              </w:rPr>
              <w:t xml:space="preserve">  </w:t>
            </w:r>
            <w:proofErr w:type="spellStart"/>
            <w:r w:rsidRPr="00FA1D42">
              <w:rPr>
                <w:sz w:val="20"/>
                <w:szCs w:val="20"/>
              </w:rPr>
              <w:t>можуть</w:t>
            </w:r>
            <w:proofErr w:type="spellEnd"/>
            <w:r w:rsidRPr="00FA1D42">
              <w:rPr>
                <w:sz w:val="20"/>
                <w:szCs w:val="20"/>
              </w:rPr>
              <w:t xml:space="preserve">  </w:t>
            </w:r>
            <w:proofErr w:type="spellStart"/>
            <w:r w:rsidRPr="00FA1D42">
              <w:rPr>
                <w:sz w:val="20"/>
                <w:szCs w:val="20"/>
              </w:rPr>
              <w:t>вчинятися</w:t>
            </w:r>
            <w:proofErr w:type="spellEnd"/>
            <w:r w:rsidRPr="00FA1D42">
              <w:rPr>
                <w:sz w:val="20"/>
                <w:szCs w:val="20"/>
              </w:rPr>
              <w:t xml:space="preserve">, в тому </w:t>
            </w:r>
            <w:proofErr w:type="spellStart"/>
            <w:r w:rsidRPr="00FA1D42">
              <w:rPr>
                <w:sz w:val="20"/>
                <w:szCs w:val="20"/>
              </w:rPr>
              <w:t>числі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неодноразово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Товариством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протягом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не більш як </w:t>
            </w:r>
            <w:r w:rsidRPr="00FA1D42">
              <w:rPr>
                <w:sz w:val="20"/>
                <w:szCs w:val="20"/>
              </w:rPr>
              <w:t xml:space="preserve">одного року з </w:t>
            </w:r>
            <w:proofErr w:type="spellStart"/>
            <w:r w:rsidRPr="00FA1D42">
              <w:rPr>
                <w:sz w:val="20"/>
                <w:szCs w:val="20"/>
              </w:rPr>
              <w:t>дати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прийняття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рішення</w:t>
            </w:r>
            <w:proofErr w:type="spellEnd"/>
            <w:r w:rsidRPr="00FA1D42">
              <w:rPr>
                <w:sz w:val="20"/>
                <w:szCs w:val="20"/>
              </w:rPr>
              <w:t xml:space="preserve">, а </w:t>
            </w:r>
            <w:proofErr w:type="spellStart"/>
            <w:r w:rsidRPr="00FA1D42">
              <w:rPr>
                <w:sz w:val="20"/>
                <w:szCs w:val="20"/>
              </w:rPr>
              <w:t>саме</w:t>
            </w:r>
            <w:proofErr w:type="spellEnd"/>
            <w:r w:rsidRPr="00FA1D42">
              <w:rPr>
                <w:sz w:val="20"/>
                <w:szCs w:val="20"/>
              </w:rPr>
              <w:t>: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>-</w:t>
            </w:r>
            <w:r w:rsidRPr="00FA1D42">
              <w:rPr>
                <w:sz w:val="20"/>
                <w:szCs w:val="20"/>
              </w:rPr>
              <w:tab/>
            </w:r>
            <w:proofErr w:type="spellStart"/>
            <w:r w:rsidRPr="00FA1D42">
              <w:rPr>
                <w:sz w:val="20"/>
                <w:szCs w:val="20"/>
              </w:rPr>
              <w:t>ринкова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вартість</w:t>
            </w:r>
            <w:proofErr w:type="spellEnd"/>
            <w:r w:rsidRPr="00FA1D42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FA1D42">
              <w:rPr>
                <w:sz w:val="20"/>
                <w:szCs w:val="20"/>
              </w:rPr>
              <w:t>значного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перевищує</w:t>
            </w:r>
            <w:proofErr w:type="spellEnd"/>
            <w:r w:rsidRPr="00FA1D42">
              <w:rPr>
                <w:sz w:val="20"/>
                <w:szCs w:val="20"/>
              </w:rPr>
              <w:t xml:space="preserve"> 25 </w:t>
            </w:r>
            <w:proofErr w:type="spellStart"/>
            <w:r w:rsidRPr="00FA1D42">
              <w:rPr>
                <w:sz w:val="20"/>
                <w:szCs w:val="20"/>
              </w:rPr>
              <w:t>відсотків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активів</w:t>
            </w:r>
            <w:proofErr w:type="spellEnd"/>
            <w:r w:rsidRPr="00FA1D42">
              <w:rPr>
                <w:sz w:val="20"/>
                <w:szCs w:val="20"/>
              </w:rPr>
              <w:t xml:space="preserve"> за </w:t>
            </w:r>
            <w:proofErr w:type="spellStart"/>
            <w:r w:rsidRPr="00FA1D42">
              <w:rPr>
                <w:sz w:val="20"/>
                <w:szCs w:val="20"/>
              </w:rPr>
              <w:t>даними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останньої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річної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фінансової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звітності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>-</w:t>
            </w:r>
            <w:r w:rsidRPr="00FA1D42">
              <w:rPr>
                <w:sz w:val="20"/>
                <w:szCs w:val="20"/>
              </w:rPr>
              <w:tab/>
            </w:r>
            <w:proofErr w:type="spellStart"/>
            <w:r w:rsidRPr="00FA1D42">
              <w:rPr>
                <w:sz w:val="20"/>
                <w:szCs w:val="20"/>
              </w:rPr>
              <w:t>ринкова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вартість</w:t>
            </w:r>
            <w:proofErr w:type="spellEnd"/>
            <w:r w:rsidRPr="00FA1D42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FA1D42">
              <w:rPr>
                <w:sz w:val="20"/>
                <w:szCs w:val="20"/>
              </w:rPr>
              <w:t>значного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перевищує</w:t>
            </w:r>
            <w:proofErr w:type="spellEnd"/>
            <w:r w:rsidRPr="00FA1D42">
              <w:rPr>
                <w:sz w:val="20"/>
                <w:szCs w:val="20"/>
              </w:rPr>
              <w:t xml:space="preserve"> 25 </w:t>
            </w:r>
            <w:proofErr w:type="spellStart"/>
            <w:r w:rsidRPr="00FA1D42">
              <w:rPr>
                <w:sz w:val="20"/>
                <w:szCs w:val="20"/>
              </w:rPr>
              <w:t>відсотків</w:t>
            </w:r>
            <w:proofErr w:type="spellEnd"/>
            <w:r w:rsidRPr="00FA1D42">
              <w:rPr>
                <w:sz w:val="20"/>
                <w:szCs w:val="20"/>
              </w:rPr>
              <w:t xml:space="preserve">, але </w:t>
            </w:r>
            <w:proofErr w:type="spellStart"/>
            <w:r w:rsidRPr="00FA1D42">
              <w:rPr>
                <w:sz w:val="20"/>
                <w:szCs w:val="20"/>
              </w:rPr>
              <w:t>менша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ніж</w:t>
            </w:r>
            <w:proofErr w:type="spellEnd"/>
            <w:r w:rsidRPr="00FA1D42">
              <w:rPr>
                <w:sz w:val="20"/>
                <w:szCs w:val="20"/>
              </w:rPr>
              <w:t xml:space="preserve"> 50 </w:t>
            </w:r>
            <w:proofErr w:type="spellStart"/>
            <w:r w:rsidRPr="00FA1D42">
              <w:rPr>
                <w:sz w:val="20"/>
                <w:szCs w:val="20"/>
              </w:rPr>
              <w:t>відсотків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активів</w:t>
            </w:r>
            <w:proofErr w:type="spellEnd"/>
            <w:r w:rsidRPr="00FA1D42">
              <w:rPr>
                <w:sz w:val="20"/>
                <w:szCs w:val="20"/>
              </w:rPr>
              <w:t xml:space="preserve">, за </w:t>
            </w:r>
            <w:proofErr w:type="spellStart"/>
            <w:r w:rsidRPr="00FA1D42">
              <w:rPr>
                <w:sz w:val="20"/>
                <w:szCs w:val="20"/>
              </w:rPr>
              <w:t>даними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останньої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річної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фінансової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звітності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>-</w:t>
            </w:r>
            <w:r w:rsidRPr="00FA1D42">
              <w:rPr>
                <w:sz w:val="20"/>
                <w:szCs w:val="20"/>
              </w:rPr>
              <w:tab/>
            </w:r>
            <w:proofErr w:type="spellStart"/>
            <w:r w:rsidRPr="00FA1D42">
              <w:rPr>
                <w:sz w:val="20"/>
                <w:szCs w:val="20"/>
              </w:rPr>
              <w:t>ринкова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вартість</w:t>
            </w:r>
            <w:proofErr w:type="spellEnd"/>
            <w:r w:rsidRPr="00FA1D42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FA1D42">
              <w:rPr>
                <w:sz w:val="20"/>
                <w:szCs w:val="20"/>
              </w:rPr>
              <w:t>значного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правочину</w:t>
            </w:r>
            <w:proofErr w:type="spellEnd"/>
            <w:r w:rsidRPr="00FA1D42">
              <w:rPr>
                <w:sz w:val="20"/>
                <w:szCs w:val="20"/>
              </w:rPr>
              <w:t xml:space="preserve"> становить 50 і </w:t>
            </w:r>
            <w:proofErr w:type="spellStart"/>
            <w:r w:rsidRPr="00FA1D42">
              <w:rPr>
                <w:sz w:val="20"/>
                <w:szCs w:val="20"/>
              </w:rPr>
              <w:t>більше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відсотків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активів</w:t>
            </w:r>
            <w:proofErr w:type="spellEnd"/>
            <w:r w:rsidRPr="00FA1D42">
              <w:rPr>
                <w:sz w:val="20"/>
                <w:szCs w:val="20"/>
              </w:rPr>
              <w:t xml:space="preserve"> за </w:t>
            </w:r>
            <w:proofErr w:type="spellStart"/>
            <w:r w:rsidRPr="00FA1D42">
              <w:rPr>
                <w:sz w:val="20"/>
                <w:szCs w:val="20"/>
              </w:rPr>
              <w:t>даними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останньої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річної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фінансової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звітності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 xml:space="preserve">- 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є (</w:t>
            </w:r>
            <w:proofErr w:type="spellStart"/>
            <w:r w:rsidRPr="00FA1D42">
              <w:rPr>
                <w:sz w:val="20"/>
                <w:szCs w:val="20"/>
              </w:rPr>
              <w:t>які</w:t>
            </w:r>
            <w:proofErr w:type="spellEnd"/>
            <w:r w:rsidRPr="00FA1D42">
              <w:rPr>
                <w:sz w:val="20"/>
                <w:szCs w:val="20"/>
              </w:rPr>
              <w:t xml:space="preserve"> за </w:t>
            </w:r>
            <w:proofErr w:type="spellStart"/>
            <w:r w:rsidRPr="00FA1D42">
              <w:rPr>
                <w:sz w:val="20"/>
                <w:szCs w:val="20"/>
              </w:rPr>
              <w:t>своїм</w:t>
            </w:r>
            <w:proofErr w:type="spellEnd"/>
            <w:r w:rsidRPr="00FA1D42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FA1D42">
              <w:rPr>
                <w:sz w:val="20"/>
                <w:szCs w:val="20"/>
              </w:rPr>
              <w:t>направлені</w:t>
            </w:r>
            <w:proofErr w:type="spellEnd"/>
            <w:r w:rsidRPr="00FA1D42">
              <w:rPr>
                <w:sz w:val="20"/>
                <w:szCs w:val="20"/>
              </w:rPr>
              <w:t xml:space="preserve"> на): </w:t>
            </w:r>
            <w:proofErr w:type="spellStart"/>
            <w:r w:rsidRPr="00FA1D42">
              <w:rPr>
                <w:sz w:val="20"/>
                <w:szCs w:val="20"/>
              </w:rPr>
              <w:t>одержання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Товариством</w:t>
            </w:r>
            <w:proofErr w:type="spellEnd"/>
            <w:r w:rsidRPr="00FA1D42">
              <w:rPr>
                <w:sz w:val="20"/>
                <w:szCs w:val="20"/>
              </w:rPr>
              <w:t xml:space="preserve"> у будь-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фізичних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юридичних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осіб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кредитів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позик</w:t>
            </w:r>
            <w:proofErr w:type="spellEnd"/>
            <w:r w:rsidRPr="00FA1D42">
              <w:rPr>
                <w:sz w:val="20"/>
                <w:szCs w:val="20"/>
              </w:rPr>
              <w:t xml:space="preserve">; </w:t>
            </w:r>
            <w:proofErr w:type="spellStart"/>
            <w:r w:rsidRPr="00FA1D42">
              <w:rPr>
                <w:sz w:val="20"/>
                <w:szCs w:val="20"/>
              </w:rPr>
              <w:t>надання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Товариством</w:t>
            </w:r>
            <w:proofErr w:type="spellEnd"/>
            <w:r w:rsidRPr="00FA1D42">
              <w:rPr>
                <w:sz w:val="20"/>
                <w:szCs w:val="20"/>
              </w:rPr>
              <w:t xml:space="preserve"> в заставу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іпотеку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власного</w:t>
            </w:r>
            <w:proofErr w:type="spellEnd"/>
            <w:r w:rsidRPr="00FA1D42">
              <w:rPr>
                <w:sz w:val="20"/>
                <w:szCs w:val="20"/>
              </w:rPr>
              <w:t xml:space="preserve"> майна для </w:t>
            </w:r>
            <w:proofErr w:type="spellStart"/>
            <w:r w:rsidRPr="00FA1D42">
              <w:rPr>
                <w:sz w:val="20"/>
                <w:szCs w:val="20"/>
              </w:rPr>
              <w:t>забезпечення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кредитних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позикових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операцій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будь-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третіх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осіб</w:t>
            </w:r>
            <w:proofErr w:type="spellEnd"/>
            <w:r w:rsidRPr="00FA1D42">
              <w:rPr>
                <w:sz w:val="20"/>
                <w:szCs w:val="20"/>
              </w:rPr>
              <w:t xml:space="preserve">; </w:t>
            </w:r>
            <w:proofErr w:type="spellStart"/>
            <w:r w:rsidRPr="00FA1D42">
              <w:rPr>
                <w:sz w:val="20"/>
                <w:szCs w:val="20"/>
              </w:rPr>
              <w:t>надання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Товариством</w:t>
            </w:r>
            <w:proofErr w:type="spellEnd"/>
            <w:r w:rsidRPr="00FA1D42">
              <w:rPr>
                <w:sz w:val="20"/>
                <w:szCs w:val="20"/>
              </w:rPr>
              <w:t xml:space="preserve"> порук (в тому </w:t>
            </w:r>
            <w:proofErr w:type="spellStart"/>
            <w:r w:rsidRPr="00FA1D42">
              <w:rPr>
                <w:sz w:val="20"/>
                <w:szCs w:val="20"/>
              </w:rPr>
              <w:t>числі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майнових</w:t>
            </w:r>
            <w:proofErr w:type="spellEnd"/>
            <w:r w:rsidRPr="00FA1D42">
              <w:rPr>
                <w:sz w:val="20"/>
                <w:szCs w:val="20"/>
              </w:rPr>
              <w:t xml:space="preserve"> порук) для </w:t>
            </w:r>
            <w:proofErr w:type="spellStart"/>
            <w:r w:rsidRPr="00FA1D42">
              <w:rPr>
                <w:sz w:val="20"/>
                <w:szCs w:val="20"/>
              </w:rPr>
              <w:t>забезпечення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кредитних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позикових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операцій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будь-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третіх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осіб</w:t>
            </w:r>
            <w:proofErr w:type="spellEnd"/>
            <w:r w:rsidRPr="00FA1D42">
              <w:rPr>
                <w:sz w:val="20"/>
                <w:szCs w:val="20"/>
              </w:rPr>
              <w:t xml:space="preserve">; </w:t>
            </w:r>
            <w:proofErr w:type="spellStart"/>
            <w:r w:rsidRPr="00FA1D42">
              <w:rPr>
                <w:sz w:val="20"/>
                <w:szCs w:val="20"/>
              </w:rPr>
              <w:t>страхування</w:t>
            </w:r>
            <w:proofErr w:type="spellEnd"/>
            <w:r w:rsidRPr="00FA1D42">
              <w:rPr>
                <w:sz w:val="20"/>
                <w:szCs w:val="20"/>
              </w:rPr>
              <w:t xml:space="preserve"> майна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; </w:t>
            </w:r>
            <w:proofErr w:type="spellStart"/>
            <w:r w:rsidRPr="00FA1D42">
              <w:rPr>
                <w:sz w:val="20"/>
                <w:szCs w:val="20"/>
              </w:rPr>
              <w:t>відчуження</w:t>
            </w:r>
            <w:proofErr w:type="spellEnd"/>
            <w:r w:rsidRPr="00FA1D42">
              <w:rPr>
                <w:sz w:val="20"/>
                <w:szCs w:val="20"/>
              </w:rPr>
              <w:t xml:space="preserve"> майна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що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пов’язане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із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зверненням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стягнення</w:t>
            </w:r>
            <w:proofErr w:type="spellEnd"/>
            <w:r w:rsidRPr="00FA1D42">
              <w:rPr>
                <w:sz w:val="20"/>
                <w:szCs w:val="20"/>
              </w:rPr>
              <w:t xml:space="preserve"> на предмет </w:t>
            </w:r>
            <w:proofErr w:type="spellStart"/>
            <w:r w:rsidRPr="00FA1D42">
              <w:rPr>
                <w:sz w:val="20"/>
                <w:szCs w:val="20"/>
              </w:rPr>
              <w:t>застави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іпотеки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відповідно</w:t>
            </w:r>
            <w:proofErr w:type="spellEnd"/>
            <w:r w:rsidRPr="00FA1D42">
              <w:rPr>
                <w:sz w:val="20"/>
                <w:szCs w:val="20"/>
              </w:rPr>
              <w:t xml:space="preserve"> до умов </w:t>
            </w:r>
            <w:proofErr w:type="spellStart"/>
            <w:r w:rsidRPr="00FA1D42">
              <w:rPr>
                <w:sz w:val="20"/>
                <w:szCs w:val="20"/>
              </w:rPr>
              <w:t>зазначених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застави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іпотеки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зокрема</w:t>
            </w:r>
            <w:proofErr w:type="spellEnd"/>
            <w:r w:rsidRPr="00FA1D42">
              <w:rPr>
                <w:sz w:val="20"/>
                <w:szCs w:val="20"/>
              </w:rPr>
              <w:t xml:space="preserve">, але не </w:t>
            </w:r>
            <w:proofErr w:type="spellStart"/>
            <w:r w:rsidRPr="00FA1D42">
              <w:rPr>
                <w:sz w:val="20"/>
                <w:szCs w:val="20"/>
              </w:rPr>
              <w:t>виключно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укладання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 кредиту, </w:t>
            </w:r>
            <w:proofErr w:type="spellStart"/>
            <w:r w:rsidRPr="00FA1D42">
              <w:rPr>
                <w:sz w:val="20"/>
                <w:szCs w:val="20"/>
              </w:rPr>
              <w:t>страхування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застави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іпотеки</w:t>
            </w:r>
            <w:proofErr w:type="spellEnd"/>
            <w:r w:rsidRPr="00FA1D42">
              <w:rPr>
                <w:sz w:val="20"/>
                <w:szCs w:val="20"/>
              </w:rPr>
              <w:t xml:space="preserve">, поруки (в тому </w:t>
            </w:r>
            <w:proofErr w:type="spellStart"/>
            <w:r w:rsidRPr="00FA1D42">
              <w:rPr>
                <w:sz w:val="20"/>
                <w:szCs w:val="20"/>
              </w:rPr>
              <w:t>числі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майнової</w:t>
            </w:r>
            <w:proofErr w:type="spellEnd"/>
            <w:r w:rsidRPr="00FA1D42">
              <w:rPr>
                <w:sz w:val="20"/>
                <w:szCs w:val="20"/>
              </w:rPr>
              <w:t xml:space="preserve"> поруки) </w:t>
            </w:r>
            <w:proofErr w:type="spellStart"/>
            <w:r w:rsidRPr="00FA1D42">
              <w:rPr>
                <w:sz w:val="20"/>
                <w:szCs w:val="20"/>
              </w:rPr>
              <w:t>із</w:t>
            </w:r>
            <w:proofErr w:type="spellEnd"/>
            <w:r w:rsidRPr="00FA1D42">
              <w:rPr>
                <w:sz w:val="20"/>
                <w:szCs w:val="20"/>
              </w:rPr>
              <w:t xml:space="preserve"> правом </w:t>
            </w:r>
            <w:proofErr w:type="spellStart"/>
            <w:r w:rsidRPr="00FA1D42">
              <w:rPr>
                <w:sz w:val="20"/>
                <w:szCs w:val="20"/>
              </w:rPr>
              <w:t>наступних</w:t>
            </w:r>
            <w:proofErr w:type="spellEnd"/>
            <w:r w:rsidRPr="00FA1D42">
              <w:rPr>
                <w:sz w:val="20"/>
                <w:szCs w:val="20"/>
              </w:rPr>
              <w:t xml:space="preserve"> застав (</w:t>
            </w:r>
            <w:proofErr w:type="spellStart"/>
            <w:r w:rsidRPr="00FA1D42">
              <w:rPr>
                <w:sz w:val="20"/>
                <w:szCs w:val="20"/>
              </w:rPr>
              <w:t>перезастав</w:t>
            </w:r>
            <w:proofErr w:type="spellEnd"/>
            <w:r w:rsidRPr="00FA1D42">
              <w:rPr>
                <w:sz w:val="20"/>
                <w:szCs w:val="20"/>
              </w:rPr>
              <w:t xml:space="preserve">) для </w:t>
            </w:r>
            <w:proofErr w:type="spellStart"/>
            <w:r w:rsidRPr="00FA1D42">
              <w:rPr>
                <w:sz w:val="20"/>
                <w:szCs w:val="20"/>
              </w:rPr>
              <w:t>забезпечення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кредитних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операцій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будь-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третіх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осіб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інших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контрактів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угод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 xml:space="preserve">- 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є (</w:t>
            </w:r>
            <w:proofErr w:type="spellStart"/>
            <w:r w:rsidRPr="00FA1D42">
              <w:rPr>
                <w:sz w:val="20"/>
                <w:szCs w:val="20"/>
              </w:rPr>
              <w:t>які</w:t>
            </w:r>
            <w:proofErr w:type="spellEnd"/>
            <w:r w:rsidRPr="00FA1D42">
              <w:rPr>
                <w:sz w:val="20"/>
                <w:szCs w:val="20"/>
              </w:rPr>
              <w:t xml:space="preserve"> за </w:t>
            </w:r>
            <w:proofErr w:type="spellStart"/>
            <w:r w:rsidRPr="00FA1D42">
              <w:rPr>
                <w:sz w:val="20"/>
                <w:szCs w:val="20"/>
              </w:rPr>
              <w:t>своїм</w:t>
            </w:r>
            <w:proofErr w:type="spellEnd"/>
            <w:r w:rsidRPr="00FA1D42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FA1D42">
              <w:rPr>
                <w:sz w:val="20"/>
                <w:szCs w:val="20"/>
              </w:rPr>
              <w:t>направлені</w:t>
            </w:r>
            <w:proofErr w:type="spellEnd"/>
            <w:r w:rsidRPr="00FA1D42">
              <w:rPr>
                <w:sz w:val="20"/>
                <w:szCs w:val="20"/>
              </w:rPr>
              <w:t xml:space="preserve"> на): </w:t>
            </w:r>
            <w:proofErr w:type="spellStart"/>
            <w:r w:rsidRPr="00FA1D42">
              <w:rPr>
                <w:sz w:val="20"/>
                <w:szCs w:val="20"/>
              </w:rPr>
              <w:t>придбання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відчуження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Товариством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рухомого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нерухомого</w:t>
            </w:r>
            <w:proofErr w:type="spellEnd"/>
            <w:r w:rsidRPr="00FA1D42">
              <w:rPr>
                <w:sz w:val="20"/>
                <w:szCs w:val="20"/>
              </w:rPr>
              <w:t xml:space="preserve"> майна, </w:t>
            </w:r>
            <w:proofErr w:type="spellStart"/>
            <w:r w:rsidRPr="00FA1D42">
              <w:rPr>
                <w:sz w:val="20"/>
                <w:szCs w:val="20"/>
              </w:rPr>
              <w:t>продукції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цінних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паперів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майнових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немайнових</w:t>
            </w:r>
            <w:proofErr w:type="spellEnd"/>
            <w:r w:rsidRPr="00FA1D42">
              <w:rPr>
                <w:sz w:val="20"/>
                <w:szCs w:val="20"/>
              </w:rPr>
              <w:t xml:space="preserve"> прав, </w:t>
            </w:r>
            <w:proofErr w:type="spellStart"/>
            <w:r w:rsidRPr="00FA1D42">
              <w:rPr>
                <w:sz w:val="20"/>
                <w:szCs w:val="20"/>
              </w:rPr>
              <w:t>зокрема</w:t>
            </w:r>
            <w:proofErr w:type="spellEnd"/>
            <w:r w:rsidRPr="00FA1D42">
              <w:rPr>
                <w:sz w:val="20"/>
                <w:szCs w:val="20"/>
              </w:rPr>
              <w:t xml:space="preserve">, але не </w:t>
            </w:r>
            <w:proofErr w:type="spellStart"/>
            <w:r w:rsidRPr="00FA1D42">
              <w:rPr>
                <w:sz w:val="20"/>
                <w:szCs w:val="20"/>
              </w:rPr>
              <w:t>виключно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укладання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 поставки, </w:t>
            </w:r>
            <w:proofErr w:type="spellStart"/>
            <w:r w:rsidRPr="00FA1D42">
              <w:rPr>
                <w:sz w:val="20"/>
                <w:szCs w:val="20"/>
              </w:rPr>
              <w:t>купівлі</w:t>
            </w:r>
            <w:proofErr w:type="spellEnd"/>
            <w:r w:rsidRPr="00FA1D42">
              <w:rPr>
                <w:sz w:val="20"/>
                <w:szCs w:val="20"/>
              </w:rPr>
              <w:t xml:space="preserve">-продажу, </w:t>
            </w:r>
            <w:proofErr w:type="spellStart"/>
            <w:r w:rsidRPr="00FA1D42">
              <w:rPr>
                <w:sz w:val="20"/>
                <w:szCs w:val="20"/>
              </w:rPr>
              <w:t>міни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комісії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інших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контрактів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угод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 xml:space="preserve">-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є (</w:t>
            </w:r>
            <w:proofErr w:type="spellStart"/>
            <w:r w:rsidRPr="00FA1D42">
              <w:rPr>
                <w:sz w:val="20"/>
                <w:szCs w:val="20"/>
              </w:rPr>
              <w:t>які</w:t>
            </w:r>
            <w:proofErr w:type="spellEnd"/>
            <w:r w:rsidRPr="00FA1D42">
              <w:rPr>
                <w:sz w:val="20"/>
                <w:szCs w:val="20"/>
              </w:rPr>
              <w:t xml:space="preserve"> за </w:t>
            </w:r>
            <w:proofErr w:type="spellStart"/>
            <w:r w:rsidRPr="00FA1D42">
              <w:rPr>
                <w:sz w:val="20"/>
                <w:szCs w:val="20"/>
              </w:rPr>
              <w:t>своїм</w:t>
            </w:r>
            <w:proofErr w:type="spellEnd"/>
            <w:r w:rsidRPr="00FA1D42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FA1D42">
              <w:rPr>
                <w:sz w:val="20"/>
                <w:szCs w:val="20"/>
              </w:rPr>
              <w:t>направлені</w:t>
            </w:r>
            <w:proofErr w:type="spellEnd"/>
            <w:r w:rsidRPr="00FA1D42">
              <w:rPr>
                <w:sz w:val="20"/>
                <w:szCs w:val="20"/>
              </w:rPr>
              <w:t xml:space="preserve"> на): </w:t>
            </w:r>
            <w:proofErr w:type="spellStart"/>
            <w:r w:rsidRPr="00FA1D42">
              <w:rPr>
                <w:sz w:val="20"/>
                <w:szCs w:val="20"/>
              </w:rPr>
              <w:t>сумісну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діяльність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надання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отримання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послуг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зокрема</w:t>
            </w:r>
            <w:proofErr w:type="spellEnd"/>
            <w:r w:rsidRPr="00FA1D42">
              <w:rPr>
                <w:sz w:val="20"/>
                <w:szCs w:val="20"/>
              </w:rPr>
              <w:t xml:space="preserve">, але не </w:t>
            </w:r>
            <w:proofErr w:type="spellStart"/>
            <w:r w:rsidRPr="00FA1D42">
              <w:rPr>
                <w:sz w:val="20"/>
                <w:szCs w:val="20"/>
              </w:rPr>
              <w:t>виключно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укладання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 про </w:t>
            </w:r>
            <w:proofErr w:type="spellStart"/>
            <w:r w:rsidRPr="00FA1D42">
              <w:rPr>
                <w:sz w:val="20"/>
                <w:szCs w:val="20"/>
              </w:rPr>
              <w:t>спільну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діяльність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підряду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послуг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оренди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суперфіцію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правочини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щодо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реконструкції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знесення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поділу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виділу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нерухомого</w:t>
            </w:r>
            <w:proofErr w:type="spellEnd"/>
            <w:r w:rsidRPr="00FA1D42">
              <w:rPr>
                <w:sz w:val="20"/>
                <w:szCs w:val="20"/>
              </w:rPr>
              <w:t xml:space="preserve"> майна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інших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договорів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контрактів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угод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>;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FA1D42">
              <w:rPr>
                <w:sz w:val="20"/>
                <w:szCs w:val="20"/>
              </w:rPr>
              <w:t xml:space="preserve"> - будь-</w:t>
            </w:r>
            <w:proofErr w:type="spellStart"/>
            <w:r w:rsidRPr="00FA1D42">
              <w:rPr>
                <w:sz w:val="20"/>
                <w:szCs w:val="20"/>
              </w:rPr>
              <w:t>яких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щодо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внесення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змін</w:t>
            </w:r>
            <w:proofErr w:type="spellEnd"/>
            <w:r w:rsidRPr="00FA1D42">
              <w:rPr>
                <w:sz w:val="20"/>
                <w:szCs w:val="20"/>
              </w:rPr>
              <w:t xml:space="preserve"> та/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доповнень</w:t>
            </w:r>
            <w:proofErr w:type="spellEnd"/>
            <w:r w:rsidRPr="00FA1D42">
              <w:rPr>
                <w:sz w:val="20"/>
                <w:szCs w:val="20"/>
              </w:rPr>
              <w:t xml:space="preserve"> до таких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або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розірвання</w:t>
            </w:r>
            <w:proofErr w:type="spellEnd"/>
            <w:r w:rsidRPr="00FA1D42">
              <w:rPr>
                <w:sz w:val="20"/>
                <w:szCs w:val="20"/>
              </w:rPr>
              <w:t xml:space="preserve"> (</w:t>
            </w:r>
            <w:proofErr w:type="spellStart"/>
            <w:r w:rsidRPr="00FA1D42">
              <w:rPr>
                <w:sz w:val="20"/>
                <w:szCs w:val="20"/>
              </w:rPr>
              <w:t>припинення</w:t>
            </w:r>
            <w:proofErr w:type="spellEnd"/>
            <w:r w:rsidRPr="00FA1D42">
              <w:rPr>
                <w:sz w:val="20"/>
                <w:szCs w:val="20"/>
              </w:rPr>
              <w:t xml:space="preserve">) таких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>.</w:t>
            </w:r>
          </w:p>
          <w:p w:rsidR="00A7362F" w:rsidRPr="00FA1D42" w:rsidRDefault="00A7362F" w:rsidP="00A7362F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proofErr w:type="spellStart"/>
            <w:r w:rsidRPr="00FA1D42">
              <w:rPr>
                <w:sz w:val="20"/>
                <w:szCs w:val="20"/>
              </w:rPr>
              <w:t>Гранична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сукупна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вартість</w:t>
            </w:r>
            <w:proofErr w:type="spellEnd"/>
            <w:r w:rsidRPr="00FA1D42">
              <w:rPr>
                <w:sz w:val="20"/>
                <w:szCs w:val="20"/>
              </w:rPr>
              <w:t xml:space="preserve"> (сума) </w:t>
            </w:r>
            <w:proofErr w:type="spellStart"/>
            <w:r w:rsidRPr="00FA1D42">
              <w:rPr>
                <w:sz w:val="20"/>
                <w:szCs w:val="20"/>
              </w:rPr>
              <w:t>всіх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вказаних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 (з </w:t>
            </w:r>
            <w:proofErr w:type="spellStart"/>
            <w:r w:rsidRPr="00FA1D42">
              <w:rPr>
                <w:sz w:val="20"/>
                <w:szCs w:val="20"/>
              </w:rPr>
              <w:t>усіма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можливими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змінами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доповненнями</w:t>
            </w:r>
            <w:proofErr w:type="spellEnd"/>
            <w:r w:rsidRPr="00FA1D42">
              <w:rPr>
                <w:sz w:val="20"/>
                <w:szCs w:val="20"/>
              </w:rPr>
              <w:t xml:space="preserve">), </w:t>
            </w:r>
            <w:proofErr w:type="spellStart"/>
            <w:r w:rsidRPr="00FA1D42">
              <w:rPr>
                <w:sz w:val="20"/>
                <w:szCs w:val="20"/>
              </w:rPr>
              <w:t>укладених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протягом</w:t>
            </w:r>
            <w:proofErr w:type="spellEnd"/>
            <w:r w:rsidRPr="00FA1D42">
              <w:rPr>
                <w:sz w:val="20"/>
                <w:szCs w:val="20"/>
              </w:rPr>
              <w:t xml:space="preserve"> не </w:t>
            </w:r>
            <w:proofErr w:type="spellStart"/>
            <w:r w:rsidRPr="00FA1D42">
              <w:rPr>
                <w:sz w:val="20"/>
                <w:szCs w:val="20"/>
              </w:rPr>
              <w:t>більш</w:t>
            </w:r>
            <w:proofErr w:type="spellEnd"/>
            <w:r w:rsidRPr="00FA1D42">
              <w:rPr>
                <w:sz w:val="20"/>
                <w:szCs w:val="20"/>
              </w:rPr>
              <w:t xml:space="preserve"> як одного року з </w:t>
            </w:r>
            <w:proofErr w:type="spellStart"/>
            <w:r w:rsidRPr="00FA1D42">
              <w:rPr>
                <w:sz w:val="20"/>
                <w:szCs w:val="20"/>
              </w:rPr>
              <w:t>дати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прийняття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цього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рішення</w:t>
            </w:r>
            <w:proofErr w:type="spellEnd"/>
            <w:r w:rsidRPr="00FA1D42">
              <w:rPr>
                <w:sz w:val="20"/>
                <w:szCs w:val="20"/>
              </w:rPr>
              <w:t xml:space="preserve">, не </w:t>
            </w:r>
            <w:proofErr w:type="spellStart"/>
            <w:r w:rsidRPr="00FA1D42">
              <w:rPr>
                <w:sz w:val="20"/>
                <w:szCs w:val="20"/>
              </w:rPr>
              <w:t>може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перевищувати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еквівалент</w:t>
            </w:r>
            <w:proofErr w:type="spellEnd"/>
            <w:r w:rsidRPr="00FA1D42">
              <w:rPr>
                <w:sz w:val="20"/>
                <w:szCs w:val="20"/>
              </w:rPr>
              <w:t xml:space="preserve"> 1 000 000 000 (один </w:t>
            </w:r>
            <w:proofErr w:type="spellStart"/>
            <w:r w:rsidRPr="00FA1D42">
              <w:rPr>
                <w:sz w:val="20"/>
                <w:szCs w:val="20"/>
              </w:rPr>
              <w:t>мільярд</w:t>
            </w:r>
            <w:proofErr w:type="spellEnd"/>
            <w:r w:rsidRPr="00FA1D42">
              <w:rPr>
                <w:sz w:val="20"/>
                <w:szCs w:val="20"/>
              </w:rPr>
              <w:t xml:space="preserve">) </w:t>
            </w:r>
            <w:proofErr w:type="spellStart"/>
            <w:r w:rsidRPr="00FA1D42">
              <w:rPr>
                <w:sz w:val="20"/>
                <w:szCs w:val="20"/>
              </w:rPr>
              <w:t>гривень</w:t>
            </w:r>
            <w:proofErr w:type="spellEnd"/>
            <w:r w:rsidRPr="00FA1D42">
              <w:rPr>
                <w:sz w:val="20"/>
                <w:szCs w:val="20"/>
              </w:rPr>
              <w:t>.</w:t>
            </w:r>
          </w:p>
          <w:p w:rsidR="003961EF" w:rsidRPr="00A7362F" w:rsidRDefault="00A7362F" w:rsidP="00A73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A1D42">
              <w:rPr>
                <w:sz w:val="20"/>
                <w:szCs w:val="20"/>
              </w:rPr>
              <w:t>Уповноважити</w:t>
            </w:r>
            <w:proofErr w:type="spellEnd"/>
            <w:r w:rsidRPr="00FA1D42">
              <w:rPr>
                <w:sz w:val="20"/>
                <w:szCs w:val="20"/>
              </w:rPr>
              <w:t xml:space="preserve"> Директора Приватного </w:t>
            </w:r>
            <w:proofErr w:type="spellStart"/>
            <w:r w:rsidRPr="00FA1D42">
              <w:rPr>
                <w:sz w:val="20"/>
                <w:szCs w:val="20"/>
              </w:rPr>
              <w:t>акціонерного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товариства</w:t>
            </w:r>
            <w:proofErr w:type="spellEnd"/>
            <w:r w:rsidRPr="00FA1D42">
              <w:rPr>
                <w:sz w:val="20"/>
                <w:szCs w:val="20"/>
              </w:rPr>
              <w:t xml:space="preserve"> «</w:t>
            </w:r>
            <w:proofErr w:type="spellStart"/>
            <w:r w:rsidRPr="00FA1D42">
              <w:rPr>
                <w:sz w:val="20"/>
                <w:szCs w:val="20"/>
              </w:rPr>
              <w:t>Шосткинське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хлібоприймальне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підприємство</w:t>
            </w:r>
            <w:proofErr w:type="spellEnd"/>
            <w:r w:rsidRPr="00FA1D42">
              <w:rPr>
                <w:sz w:val="20"/>
                <w:szCs w:val="20"/>
              </w:rPr>
              <w:t xml:space="preserve">» </w:t>
            </w:r>
            <w:proofErr w:type="spellStart"/>
            <w:r w:rsidRPr="00FA1D42">
              <w:rPr>
                <w:sz w:val="20"/>
                <w:szCs w:val="20"/>
              </w:rPr>
              <w:t>узгодити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умови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значних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правочинів</w:t>
            </w:r>
            <w:proofErr w:type="spellEnd"/>
            <w:r w:rsidRPr="00FA1D42">
              <w:rPr>
                <w:sz w:val="20"/>
                <w:szCs w:val="20"/>
              </w:rPr>
              <w:t xml:space="preserve">, </w:t>
            </w:r>
            <w:proofErr w:type="spellStart"/>
            <w:r w:rsidRPr="00FA1D42">
              <w:rPr>
                <w:sz w:val="20"/>
                <w:szCs w:val="20"/>
              </w:rPr>
              <w:t>укласти</w:t>
            </w:r>
            <w:proofErr w:type="spellEnd"/>
            <w:r w:rsidRPr="00FA1D42">
              <w:rPr>
                <w:sz w:val="20"/>
                <w:szCs w:val="20"/>
              </w:rPr>
              <w:t xml:space="preserve"> та </w:t>
            </w:r>
            <w:proofErr w:type="spellStart"/>
            <w:r w:rsidRPr="00FA1D42">
              <w:rPr>
                <w:sz w:val="20"/>
                <w:szCs w:val="20"/>
              </w:rPr>
              <w:t>підписати</w:t>
            </w:r>
            <w:proofErr w:type="spellEnd"/>
            <w:r w:rsidRPr="00FA1D42">
              <w:rPr>
                <w:sz w:val="20"/>
                <w:szCs w:val="20"/>
              </w:rPr>
              <w:t xml:space="preserve"> </w:t>
            </w:r>
            <w:proofErr w:type="spellStart"/>
            <w:r w:rsidRPr="00FA1D42">
              <w:rPr>
                <w:sz w:val="20"/>
                <w:szCs w:val="20"/>
              </w:rPr>
              <w:t>значні</w:t>
            </w:r>
            <w:proofErr w:type="spellEnd"/>
            <w:r w:rsidRPr="00FA1D42">
              <w:rPr>
                <w:sz w:val="20"/>
                <w:szCs w:val="20"/>
              </w:rPr>
              <w:t xml:space="preserve"> правочини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C37972">
        <w:tc>
          <w:tcPr>
            <w:tcW w:w="3256" w:type="dxa"/>
            <w:vMerge w:val="restart"/>
          </w:tcPr>
          <w:p w:rsidR="00E87110" w:rsidRPr="004A647F" w:rsidRDefault="00E87110" w:rsidP="00C3797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C37972">
        <w:tc>
          <w:tcPr>
            <w:tcW w:w="3256" w:type="dxa"/>
            <w:vMerge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961EF" w:rsidRDefault="003961EF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C22C9C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C7D9F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9823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6B105C" w:rsidP="00C22C9C">
      <w:pPr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="00C22C9C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 /___________________________________________________/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3961EF" w:rsidRPr="004A647F" w:rsidRDefault="00C22C9C" w:rsidP="00D94CF7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ст. 3</w:t>
      </w: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sectPr w:rsidR="003961EF" w:rsidRPr="004A647F" w:rsidSect="007D63E1">
      <w:pgSz w:w="11906" w:h="16838"/>
      <w:pgMar w:top="426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4BA"/>
    <w:multiLevelType w:val="multilevel"/>
    <w:tmpl w:val="AE88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F"/>
    <w:rsid w:val="00063A4C"/>
    <w:rsid w:val="000A6E1F"/>
    <w:rsid w:val="001267D5"/>
    <w:rsid w:val="00133B83"/>
    <w:rsid w:val="001A756D"/>
    <w:rsid w:val="001B5BAF"/>
    <w:rsid w:val="001D0AE2"/>
    <w:rsid w:val="001E4C13"/>
    <w:rsid w:val="001F774F"/>
    <w:rsid w:val="00223210"/>
    <w:rsid w:val="0025516D"/>
    <w:rsid w:val="00291C9C"/>
    <w:rsid w:val="002A3B16"/>
    <w:rsid w:val="002B77A5"/>
    <w:rsid w:val="002F21FD"/>
    <w:rsid w:val="002F5901"/>
    <w:rsid w:val="0033422C"/>
    <w:rsid w:val="00337F52"/>
    <w:rsid w:val="0034249B"/>
    <w:rsid w:val="00344222"/>
    <w:rsid w:val="003479FF"/>
    <w:rsid w:val="0036219D"/>
    <w:rsid w:val="00372849"/>
    <w:rsid w:val="00374B84"/>
    <w:rsid w:val="003961EF"/>
    <w:rsid w:val="003B7BB7"/>
    <w:rsid w:val="00411F0E"/>
    <w:rsid w:val="00417FEF"/>
    <w:rsid w:val="00480275"/>
    <w:rsid w:val="0049569C"/>
    <w:rsid w:val="004A647F"/>
    <w:rsid w:val="004A65F5"/>
    <w:rsid w:val="00502FD2"/>
    <w:rsid w:val="00552642"/>
    <w:rsid w:val="00562240"/>
    <w:rsid w:val="005A65D6"/>
    <w:rsid w:val="005B2D1B"/>
    <w:rsid w:val="00683457"/>
    <w:rsid w:val="00696A71"/>
    <w:rsid w:val="006B105C"/>
    <w:rsid w:val="006B1CD9"/>
    <w:rsid w:val="006B682C"/>
    <w:rsid w:val="006D5445"/>
    <w:rsid w:val="00711F78"/>
    <w:rsid w:val="0071383F"/>
    <w:rsid w:val="00732040"/>
    <w:rsid w:val="00743E21"/>
    <w:rsid w:val="007C1DB4"/>
    <w:rsid w:val="007D63E1"/>
    <w:rsid w:val="007E0569"/>
    <w:rsid w:val="007F709D"/>
    <w:rsid w:val="00832E0E"/>
    <w:rsid w:val="008A53CB"/>
    <w:rsid w:val="008D3E19"/>
    <w:rsid w:val="00921420"/>
    <w:rsid w:val="00937D64"/>
    <w:rsid w:val="00975622"/>
    <w:rsid w:val="00975D09"/>
    <w:rsid w:val="009823AA"/>
    <w:rsid w:val="009C7D9F"/>
    <w:rsid w:val="009D5BC6"/>
    <w:rsid w:val="009F104C"/>
    <w:rsid w:val="009F72FB"/>
    <w:rsid w:val="00A26112"/>
    <w:rsid w:val="00A7362F"/>
    <w:rsid w:val="00A86A6E"/>
    <w:rsid w:val="00AC071C"/>
    <w:rsid w:val="00AC1F8F"/>
    <w:rsid w:val="00B366D9"/>
    <w:rsid w:val="00B83CC9"/>
    <w:rsid w:val="00B85867"/>
    <w:rsid w:val="00BB291F"/>
    <w:rsid w:val="00BD3D83"/>
    <w:rsid w:val="00BF4489"/>
    <w:rsid w:val="00C168B5"/>
    <w:rsid w:val="00C22C9C"/>
    <w:rsid w:val="00C44CD3"/>
    <w:rsid w:val="00C5384B"/>
    <w:rsid w:val="00C64CED"/>
    <w:rsid w:val="00C75C3B"/>
    <w:rsid w:val="00C9122B"/>
    <w:rsid w:val="00CE7CCC"/>
    <w:rsid w:val="00D002FA"/>
    <w:rsid w:val="00D428AB"/>
    <w:rsid w:val="00D94CF7"/>
    <w:rsid w:val="00D97F21"/>
    <w:rsid w:val="00D97FC7"/>
    <w:rsid w:val="00DD4955"/>
    <w:rsid w:val="00DE0387"/>
    <w:rsid w:val="00E50EE0"/>
    <w:rsid w:val="00E84D06"/>
    <w:rsid w:val="00E87110"/>
    <w:rsid w:val="00EA16DA"/>
    <w:rsid w:val="00EA3D02"/>
    <w:rsid w:val="00EF6398"/>
    <w:rsid w:val="00F46005"/>
    <w:rsid w:val="00F72639"/>
    <w:rsid w:val="00F774AB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7A8A"/>
  <w15:docId w15:val="{9BC4E7E5-0906-4403-8C1F-DE3827D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af6">
    <w:name w:val="Table Grid"/>
    <w:basedOn w:val="a1"/>
    <w:uiPriority w:val="39"/>
    <w:rsid w:val="007D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ICzNNORMynOt8s4iDCoELokdA==">AMUW2mVZqeSgKmBG4a+JkyMWYXTltvhPgGO3/c8uIpuSrgIkLHJKJo1Jj5MrR/52+TU2ihTppvLVBce4D4AksaRIpmb2htzzqleP8ymw5vLuNXaj59GJfWc9dUhaUL+sxQuYOv64qu1a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Марина</cp:lastModifiedBy>
  <cp:revision>35</cp:revision>
  <dcterms:created xsi:type="dcterms:W3CDTF">2024-02-08T18:02:00Z</dcterms:created>
  <dcterms:modified xsi:type="dcterms:W3CDTF">2026-03-13T15:07:00Z</dcterms:modified>
</cp:coreProperties>
</file>