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063A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Бюлетень</w:t>
      </w:r>
    </w:p>
    <w:p w:rsidR="003961E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063A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для голосування (щодо інших питань порядку денного, крім обрання органів товариства), на дистанційних річних Загальних зборах акціонерів Приватного  акціонерного товариства «</w:t>
      </w:r>
      <w:proofErr w:type="spellStart"/>
      <w:r w:rsidR="00411F0E" w:rsidRPr="00063A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Шосткинське</w:t>
      </w:r>
      <w:proofErr w:type="spellEnd"/>
      <w:r w:rsidR="00411F0E" w:rsidRPr="00063A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хлібоприймальне підприємство</w:t>
      </w:r>
      <w:r w:rsidRPr="00063A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»</w:t>
      </w:r>
    </w:p>
    <w:tbl>
      <w:tblPr>
        <w:tblStyle w:val="aa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063A4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  <w:t>Повне найменування товариства: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9C7D9F" w:rsidP="007D63E1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A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Приватне  акціонерне товариство «</w:t>
            </w:r>
            <w:proofErr w:type="spellStart"/>
            <w:r w:rsidR="00411F0E" w:rsidRPr="00063A4C">
              <w:rPr>
                <w:rFonts w:ascii="Times New Roman" w:hAnsi="Times New Roman" w:cs="Times New Roman"/>
                <w:sz w:val="20"/>
                <w:szCs w:val="20"/>
              </w:rPr>
              <w:t>Шосткинське</w:t>
            </w:r>
            <w:proofErr w:type="spellEnd"/>
            <w:r w:rsidR="00411F0E" w:rsidRPr="0006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F0E" w:rsidRPr="00063A4C">
              <w:rPr>
                <w:rFonts w:ascii="Times New Roman" w:hAnsi="Times New Roman" w:cs="Times New Roman"/>
                <w:sz w:val="20"/>
                <w:szCs w:val="20"/>
              </w:rPr>
              <w:t>хлібоприймальне</w:t>
            </w:r>
            <w:proofErr w:type="spellEnd"/>
            <w:r w:rsidR="00411F0E" w:rsidRPr="0006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F0E" w:rsidRPr="00063A4C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063A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3961EF" w:rsidRPr="00063A4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Дата проведення чергових загальних зборів: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 грудня 2022 року</w:t>
            </w:r>
          </w:p>
        </w:tc>
      </w:tr>
      <w:tr w:rsidR="003961EF" w:rsidRPr="00063A4C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Дата заповнення бюлетеня акціонером  (представником акціонера):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tbl>
      <w:tblPr>
        <w:tblStyle w:val="ab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063A4C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3961EF" w:rsidRPr="00063A4C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Прізвище, ім’я та по батькові /Найменування  акціонера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1EF" w:rsidRPr="00063A4C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Назва, серія (за наявності), номер, дата видачі  документа, що посвідчує особу акціонера (для фізичної особи</w:t>
            </w:r>
            <w:r w:rsidRPr="00063A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1EF" w:rsidRPr="00063A4C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Реєстраційний номер облікової картки платника податків (для акціонера – фізичної особи (за наявності)) або ідентифікаційний код юридичної особи – акціонера (для юридичних осіб зареєстрованих в Україні) або реєстраційний номер з торговельного, судового або банківського реєстру  країни реєстрації юридичної особи – акціонера (для  юридичних осіб зареєстрованих поза територією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tbl>
      <w:tblPr>
        <w:tblStyle w:val="ac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4261"/>
      </w:tblGrid>
      <w:tr w:rsidR="003961EF" w:rsidRPr="00063A4C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Реквізити представника акціонера (за наявності): </w:t>
            </w:r>
          </w:p>
        </w:tc>
      </w:tr>
      <w:tr w:rsidR="003961EF" w:rsidRPr="00063A4C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Прізвище, ім’я та по батькові / Найменування представника акціонера 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1EF" w:rsidRPr="00063A4C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Назва, серія (за наявності), номер, дата видачі  документа, що посвідчує особу представника акціонера  або особу представника юридичної особи – представника акціонера (для фізичної особи)</w:t>
            </w:r>
            <w:r w:rsidR="003479FF"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3479FF" w:rsidRPr="00063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9FF"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орган який видав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1EF" w:rsidRPr="00063A4C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Реєстраційний номер облікової картки платника  податків (для представника акціонера – фізичної  особи (за наявності) або для фізичної особи – представника юридичної особи – представника акціонера (за наявності)) та за наявності ідентифікаційний код юридичної особи – представника акціонера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1EF" w:rsidRPr="00063A4C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d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2"/>
        <w:gridCol w:w="6140"/>
      </w:tblGrid>
      <w:tr w:rsidR="003961EF" w:rsidRPr="00063A4C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Кількість простих голосуючих акцій (кількість голосів), що належать акціонеру:</w:t>
            </w:r>
          </w:p>
        </w:tc>
      </w:tr>
      <w:tr w:rsidR="003961EF" w:rsidRPr="00063A4C">
        <w:trPr>
          <w:trHeight w:val="414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______________________________________________________</w:t>
            </w:r>
          </w:p>
          <w:p w:rsidR="003961EF" w:rsidRPr="00063A4C" w:rsidRDefault="003961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1EF" w:rsidRPr="00063A4C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(кількість голосів прописом)</w:t>
            </w:r>
          </w:p>
        </w:tc>
      </w:tr>
    </w:tbl>
    <w:tbl>
      <w:tblPr>
        <w:tblStyle w:val="ae"/>
        <w:tblW w:w="10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1"/>
      </w:tblGrid>
      <w:tr w:rsidR="003961EF" w:rsidRPr="00063A4C" w:rsidTr="007D63E1">
        <w:trPr>
          <w:trHeight w:val="642"/>
        </w:trPr>
        <w:tc>
          <w:tcPr>
            <w:tcW w:w="10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1EF" w:rsidRPr="00063A4C" w:rsidRDefault="009C7D9F" w:rsidP="007D63E1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3A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Бюлетень підписується акціонером (представником акціонера) та має містити реквізити акціонера 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За відсутності таких реквізитів і підпису (-</w:t>
            </w:r>
            <w:proofErr w:type="spellStart"/>
            <w:r w:rsidRPr="00063A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ів</w:t>
            </w:r>
            <w:proofErr w:type="spellEnd"/>
            <w:r w:rsidRPr="00063A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) бюлетень вважається недійсним і не враховується під час підрахунку голосів. Бюлетень може бути заповнений </w:t>
            </w:r>
            <w:proofErr w:type="spellStart"/>
            <w:r w:rsidRPr="00063A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машинодруком</w:t>
            </w:r>
            <w:proofErr w:type="spellEnd"/>
            <w:r w:rsidR="007D63E1" w:rsidRPr="00063A4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</w:tc>
      </w:tr>
    </w:tbl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063A4C"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  <w:lang w:val="uk-UA"/>
              </w:rPr>
              <w:t>Питання, винесені на голосування, та проект(и) рішення кожного із питань,  порядку денного загальних зборів</w:t>
            </w: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3961EF" w:rsidRPr="00063A4C">
        <w:trPr>
          <w:trHeight w:val="53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1</w:t>
            </w: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411F0E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Прийняття рішення за наслідками розгляду звіту Директора за 2021 рік.</w:t>
            </w:r>
          </w:p>
        </w:tc>
      </w:tr>
      <w:tr w:rsidR="003961EF" w:rsidRPr="00063A4C">
        <w:trPr>
          <w:trHeight w:val="474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411F0E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Затвердити звіт Директора за 2021 рік.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7D63E1" w:rsidRPr="00063A4C" w:rsidTr="009C7D9F">
        <w:tc>
          <w:tcPr>
            <w:tcW w:w="3256" w:type="dxa"/>
            <w:vMerge w:val="restart"/>
          </w:tcPr>
          <w:p w:rsidR="007D63E1" w:rsidRPr="00063A4C" w:rsidRDefault="007D63E1" w:rsidP="00DD4955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7D63E1" w:rsidRPr="00063A4C" w:rsidRDefault="007D63E1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7D63E1" w:rsidRPr="00063A4C" w:rsidRDefault="007D63E1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7D63E1" w:rsidRPr="00063A4C" w:rsidRDefault="007D63E1" w:rsidP="007D63E1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7D63E1" w:rsidRPr="00063A4C" w:rsidTr="009C7D9F">
        <w:tc>
          <w:tcPr>
            <w:tcW w:w="3256" w:type="dxa"/>
            <w:vMerge/>
          </w:tcPr>
          <w:p w:rsidR="007D63E1" w:rsidRPr="00063A4C" w:rsidRDefault="007D63E1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7D63E1" w:rsidRPr="00063A4C" w:rsidRDefault="007D63E1" w:rsidP="004A65F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D63E1" w:rsidRPr="00063A4C" w:rsidRDefault="007D63E1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7D63E1" w:rsidRPr="00063A4C" w:rsidRDefault="007D63E1" w:rsidP="007D63E1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63E1" w:rsidRPr="00063A4C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C7D9F" w:rsidRPr="00063A4C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063A4C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</w:p>
    <w:p w:rsidR="003961EF" w:rsidRPr="00063A4C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063A4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="007D63E1" w:rsidRPr="00063A4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63A4C">
        <w:rPr>
          <w:rFonts w:ascii="Times New Roman" w:hAnsi="Times New Roman" w:cs="Times New Roman"/>
          <w:sz w:val="20"/>
          <w:szCs w:val="20"/>
          <w:lang w:val="uk-UA"/>
        </w:rPr>
        <w:t>________________________________ /___________________________________________________/</w:t>
      </w:r>
    </w:p>
    <w:p w:rsidR="003961EF" w:rsidRPr="00063A4C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063A4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063A4C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  <w:r w:rsidRPr="00063A4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ст. 1 </w:t>
      </w:r>
      <w:r w:rsidRPr="00063A4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3961EF" w:rsidRPr="00063A4C" w:rsidRDefault="003961E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3961E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063A4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lastRenderedPageBreak/>
        <w:t xml:space="preserve">                          </w:t>
      </w:r>
    </w:p>
    <w:tbl>
      <w:tblPr>
        <w:tblStyle w:val="af0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063A4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2</w:t>
            </w: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33422C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Прийняття рішення за наслідками розгляду звіту Наглядової ради за 2021 рік.</w:t>
            </w:r>
          </w:p>
        </w:tc>
      </w:tr>
      <w:tr w:rsidR="003961EF" w:rsidRPr="00063A4C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2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A26112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Затвердити звіт Наглядової ради за 2021 рік.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7D63E1" w:rsidRPr="00063A4C" w:rsidTr="009C7D9F">
        <w:tc>
          <w:tcPr>
            <w:tcW w:w="3256" w:type="dxa"/>
            <w:vMerge w:val="restart"/>
          </w:tcPr>
          <w:p w:rsidR="007D63E1" w:rsidRPr="00063A4C" w:rsidRDefault="007D63E1" w:rsidP="00022D26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A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7D63E1" w:rsidRPr="00063A4C" w:rsidRDefault="007D63E1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7D63E1" w:rsidRPr="00063A4C" w:rsidRDefault="007D63E1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7D63E1" w:rsidRPr="00063A4C" w:rsidRDefault="007D63E1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7D63E1" w:rsidRPr="00063A4C" w:rsidTr="009C7D9F">
        <w:tc>
          <w:tcPr>
            <w:tcW w:w="3256" w:type="dxa"/>
            <w:vMerge/>
          </w:tcPr>
          <w:p w:rsidR="007D63E1" w:rsidRPr="00063A4C" w:rsidRDefault="007D63E1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7D63E1" w:rsidRPr="00063A4C" w:rsidRDefault="007D63E1" w:rsidP="004A65F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65F5" w:rsidRPr="00063A4C" w:rsidRDefault="004A65F5" w:rsidP="004A65F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7D63E1" w:rsidRPr="00063A4C" w:rsidRDefault="007D63E1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7D63E1" w:rsidRPr="00063A4C" w:rsidRDefault="007D63E1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63E1" w:rsidRPr="00063A4C" w:rsidRDefault="007D63E1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p w:rsidR="009C7D9F" w:rsidRPr="00063A4C" w:rsidRDefault="009C7D9F" w:rsidP="007D63E1">
      <w:pPr>
        <w:spacing w:line="240" w:lineRule="auto"/>
        <w:ind w:left="0" w:hanging="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1"/>
        <w:tblW w:w="107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45"/>
      </w:tblGrid>
      <w:tr w:rsidR="003961EF" w:rsidRPr="00063A4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3</w:t>
            </w: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417F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Прийняття рішення за наслідками розгляду звіту та висновків Ревізора за 2021 рік.</w:t>
            </w:r>
          </w:p>
        </w:tc>
      </w:tr>
      <w:tr w:rsidR="003961EF" w:rsidRPr="00063A4C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3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417FE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Затвердити звіт та висновки Ревізора за 2021 рік.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9C7D9F" w:rsidRPr="00063A4C" w:rsidTr="00022D26">
        <w:tc>
          <w:tcPr>
            <w:tcW w:w="3256" w:type="dxa"/>
            <w:vMerge w:val="restart"/>
          </w:tcPr>
          <w:p w:rsidR="009C7D9F" w:rsidRPr="00063A4C" w:rsidRDefault="009C7D9F" w:rsidP="00022D26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A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9C7D9F" w:rsidRPr="00063A4C" w:rsidTr="00022D26">
        <w:tc>
          <w:tcPr>
            <w:tcW w:w="3256" w:type="dxa"/>
            <w:vMerge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C7D9F" w:rsidRPr="00063A4C" w:rsidRDefault="009C7D9F" w:rsidP="004A65F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2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063A4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4</w:t>
            </w: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DE0387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Затвердження річних звітів Товариства за 2021 рік.</w:t>
            </w:r>
          </w:p>
        </w:tc>
      </w:tr>
      <w:tr w:rsidR="003961EF" w:rsidRPr="00063A4C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4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DE0387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Затвердити річні звіти ПрАТ «</w:t>
            </w:r>
            <w:proofErr w:type="spellStart"/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Шосткинське</w:t>
            </w:r>
            <w:proofErr w:type="spellEnd"/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ХПП» за 2021 рік.</w:t>
            </w:r>
            <w:r w:rsidR="009C7D9F"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9C7D9F" w:rsidRPr="00063A4C" w:rsidTr="00022D26">
        <w:tc>
          <w:tcPr>
            <w:tcW w:w="3256" w:type="dxa"/>
            <w:vMerge w:val="restart"/>
          </w:tcPr>
          <w:p w:rsidR="009C7D9F" w:rsidRPr="00063A4C" w:rsidRDefault="009C7D9F" w:rsidP="00022D26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A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9C7D9F" w:rsidRPr="00063A4C" w:rsidTr="00022D26">
        <w:tc>
          <w:tcPr>
            <w:tcW w:w="3256" w:type="dxa"/>
            <w:vMerge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C7D9F" w:rsidRPr="00063A4C" w:rsidRDefault="009C7D9F" w:rsidP="004A65F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C7D9F" w:rsidRPr="00063A4C" w:rsidRDefault="009C7D9F" w:rsidP="004A65F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3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063A4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5,</w:t>
            </w: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DE0387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Прийняття рішення про розподіл прибутку (покриття збитків) Товариства за 2021 рік.</w:t>
            </w:r>
          </w:p>
        </w:tc>
      </w:tr>
      <w:tr w:rsidR="003961EF" w:rsidRPr="00063A4C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рішення з питання порядку денного № 5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DE0387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Збиток, отриманий за результатами діяльності Товариства у 2021 році, покрити за рахунок прибутків наступних періодів.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9C7D9F" w:rsidRPr="00063A4C" w:rsidTr="00022D26">
        <w:tc>
          <w:tcPr>
            <w:tcW w:w="3256" w:type="dxa"/>
            <w:vMerge w:val="restart"/>
          </w:tcPr>
          <w:p w:rsidR="009C7D9F" w:rsidRPr="00063A4C" w:rsidRDefault="009C7D9F" w:rsidP="00022D26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A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b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9C7D9F" w:rsidRPr="00063A4C" w:rsidTr="00022D26">
        <w:tc>
          <w:tcPr>
            <w:tcW w:w="3256" w:type="dxa"/>
            <w:vMerge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C7D9F" w:rsidRPr="00063A4C" w:rsidRDefault="009C7D9F" w:rsidP="004A65F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063A4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________________________________ /___________________________________________________/</w:t>
      </w:r>
    </w:p>
    <w:p w:rsidR="003961E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063A4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961E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063A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ст. 2 </w:t>
      </w:r>
      <w:r w:rsidRPr="00063A4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(представника акціонера)                                             (представника акціонера) </w:t>
      </w:r>
    </w:p>
    <w:p w:rsidR="009C7D9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C7D9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Style w:val="af5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37"/>
        <w:gridCol w:w="7535"/>
      </w:tblGrid>
      <w:tr w:rsidR="003961EF" w:rsidRPr="00063A4C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EF" w:rsidRPr="00063A4C" w:rsidRDefault="009F104C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Питання порядку денного № 6</w:t>
            </w:r>
            <w:r w:rsidR="009C7D9F"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</w:t>
            </w:r>
            <w:r w:rsidR="009C7D9F"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винесене на голосування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F" w:rsidRPr="00063A4C" w:rsidRDefault="009F104C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Прийняття рішення про попереднє  надання згоди на вчинення  значних  правочинів,  які  можуть  вчинятися Товариством протягом  одного року з дати прийняття рішення</w:t>
            </w:r>
            <w:r w:rsidR="009C7D9F"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3961EF" w:rsidRPr="00063A4C"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3961EF" w:rsidRPr="00063A4C" w:rsidRDefault="009C7D9F" w:rsidP="007D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Проект рішен</w:t>
            </w:r>
            <w:r w:rsidR="009F104C"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ня з питання порядку денного № 6</w:t>
            </w:r>
          </w:p>
        </w:tc>
        <w:tc>
          <w:tcPr>
            <w:tcW w:w="7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4C" w:rsidRPr="00063A4C" w:rsidRDefault="009F104C" w:rsidP="009F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Попередньо надати згоду на вчинення  значних  правочинів,  які  можуть  вчинятися, в тому числі неодноразово, Товариством протягом одного року з дати прийняття рішення, а саме:</w:t>
            </w:r>
          </w:p>
          <w:p w:rsidR="009F104C" w:rsidRPr="00063A4C" w:rsidRDefault="009F104C" w:rsidP="009F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  <w:t>ринкова вартість майна або послуг, що є предметом значного правочину, перевищує 25% вартості активів за даними останньої річної фінансової звітності Товариства;</w:t>
            </w:r>
          </w:p>
          <w:p w:rsidR="009F104C" w:rsidRPr="00063A4C" w:rsidRDefault="009F104C" w:rsidP="009F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  <w:t>ринкова вартість майна або послуг, що є предметом такого правочину, перевищує 25%, але менша ніж 50% вартості активів за даними останньої річної фінансової звітності Товариства;</w:t>
            </w:r>
          </w:p>
          <w:p w:rsidR="009F104C" w:rsidRPr="00063A4C" w:rsidRDefault="009F104C" w:rsidP="009F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  <w:t>ринкова вартість майна, робіт або послуг, що є предметом такого правочину, становить 50% і більше вартості активів за даними останньої річної фінансової звітності Товариства;</w:t>
            </w:r>
          </w:p>
          <w:p w:rsidR="009F104C" w:rsidRPr="00063A4C" w:rsidRDefault="009F104C" w:rsidP="009F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 значних правочинів, предметом яких є (які за своїм характером направлені на): одержання Товариством у будь-яких фізичних та/або юридичних осіб кредитів та/або позик; надання Товариством в заставу та/або іпотеку власного майна для забезпечення кредитних та/або позикових операцій Товариства та/або будь-яких третіх осіб; надання Товариством </w:t>
            </w:r>
            <w:proofErr w:type="spellStart"/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порук</w:t>
            </w:r>
            <w:proofErr w:type="spellEnd"/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(в тому числі майнових </w:t>
            </w:r>
            <w:proofErr w:type="spellStart"/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порук</w:t>
            </w:r>
            <w:proofErr w:type="spellEnd"/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 для забезпечення кредитних та/або позикових операцій Товариства та/або будь-яких третіх осіб; страхування майна Товариства; відчуження майна Товариства, що пов’язане із зверненням стягнення на предмет застави та/або іпотеки відповідно до умов зазначених правочинів застави та/або іпотеки, зокрема, але не виключно, укладання договорів кредиту, страхування, застави та/або іпотеки, поруки (в тому числі майнової поруки) із правом наступних застав (перезастав) для забезпечення кредитних операцій Товариства та/або будь-яких третіх осіб та інших договорів, контрактів, угод, правочинів;</w:t>
            </w:r>
          </w:p>
          <w:p w:rsidR="009F104C" w:rsidRPr="00063A4C" w:rsidRDefault="009F104C" w:rsidP="009F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  значних правочинів, предметом яких є (які за своїм характером направлені на): придбання або відчуження Товариством рухомого та/або нерухомого майна, продукції, цінних паперів, майнових та немайнових прав, зокрема, але не виключно, укладання, договорів поставки, купівлі-продажу, міни, комісії та інших договорів, контрактів, угод, правочинів;</w:t>
            </w:r>
          </w:p>
          <w:p w:rsidR="009F104C" w:rsidRPr="00063A4C" w:rsidRDefault="009F104C" w:rsidP="009F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значних правочинів, предметом яких є (які за своїм характером направлені на):  сумісну діяльність, надання та/або отримання послуг, зокрема, але не виключно, укладання, договорів про спільну діяльність, </w:t>
            </w:r>
            <w:proofErr w:type="spellStart"/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підряду</w:t>
            </w:r>
            <w:proofErr w:type="spellEnd"/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послуг, оренди, </w:t>
            </w:r>
            <w:proofErr w:type="spellStart"/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суперфіцію</w:t>
            </w:r>
            <w:proofErr w:type="spellEnd"/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правочини щодо реконструкції, знесення, поділу, виділу нерухомого майна Товариства та  інших договорів, контрактів, угод, правочинів;</w:t>
            </w:r>
          </w:p>
          <w:p w:rsidR="009F104C" w:rsidRPr="00063A4C" w:rsidRDefault="009F104C" w:rsidP="009F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будь-яких правочинів щодо внесення змін та/або доповнень до таких значних Правочинів або розірвання (припинення) таких значних Правочинів.</w:t>
            </w:r>
          </w:p>
          <w:p w:rsidR="009F104C" w:rsidRPr="00063A4C" w:rsidRDefault="009F104C" w:rsidP="009F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Гранична сукупна вартість (сума) всіх вказаних значних правочинів (з усіма можливими змінами та доповненнями), укладених протягом одного року з дати прийняття цього рішення, не може перевищувати еквівалент 1 000 000 000 (один мільярд) гривень.</w:t>
            </w:r>
          </w:p>
          <w:p w:rsidR="003961EF" w:rsidRPr="00063A4C" w:rsidRDefault="009F104C" w:rsidP="009F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Уповноважити Директора Приватного акціонерного товариства «</w:t>
            </w:r>
            <w:proofErr w:type="spellStart"/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Шосткинське</w:t>
            </w:r>
            <w:proofErr w:type="spellEnd"/>
            <w:r w:rsidRPr="0006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хлібоприймальне підприємство» узгодити умови значних правочинів, укласти та підписати значні правочини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45"/>
      </w:tblGrid>
      <w:tr w:rsidR="009C7D9F" w:rsidRPr="00063A4C" w:rsidTr="00022D26">
        <w:tc>
          <w:tcPr>
            <w:tcW w:w="3256" w:type="dxa"/>
            <w:vMerge w:val="restart"/>
          </w:tcPr>
          <w:p w:rsidR="009C7D9F" w:rsidRPr="00063A4C" w:rsidRDefault="009C7D9F" w:rsidP="00022D26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A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06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2409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2552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2545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A4C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  <w:tr w:rsidR="009C7D9F" w:rsidRPr="00063A4C" w:rsidTr="00022D26">
        <w:tc>
          <w:tcPr>
            <w:tcW w:w="3256" w:type="dxa"/>
            <w:vMerge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C7D9F" w:rsidRPr="00063A4C" w:rsidRDefault="009C7D9F" w:rsidP="004A65F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9C7D9F" w:rsidRPr="00063A4C" w:rsidRDefault="009C7D9F" w:rsidP="00022D26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063A4C" w:rsidRDefault="003961E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F104C" w:rsidRPr="00063A4C" w:rsidRDefault="009F104C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3961E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063A4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Pr="00063A4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</w:p>
    <w:p w:rsidR="003961E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063A4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________________________________ /___________________________________________________/</w:t>
      </w:r>
    </w:p>
    <w:p w:rsidR="003961EF" w:rsidRPr="00063A4C" w:rsidRDefault="009C7D9F" w:rsidP="007D6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bookmarkStart w:id="1" w:name="_heading=h.gjdgxs" w:colFirst="0" w:colLast="0"/>
      <w:bookmarkEnd w:id="1"/>
      <w:r w:rsidRPr="00063A4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Підпис акціонера                                     Прізвище, ім’я та по батькові акціонера</w:t>
      </w:r>
    </w:p>
    <w:p w:rsidR="00372849" w:rsidRPr="00063A4C" w:rsidRDefault="00372849" w:rsidP="009F10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63A4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</w:t>
      </w:r>
      <w:r w:rsidR="009C7D9F" w:rsidRPr="00063A4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(представника акціонера)                                             (представника акціонера) </w:t>
      </w:r>
    </w:p>
    <w:p w:rsidR="003961EF" w:rsidRPr="00063A4C" w:rsidRDefault="00372849" w:rsidP="00372849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63A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ст. 3 </w:t>
      </w:r>
      <w:r w:rsidRPr="00063A4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</w:t>
      </w:r>
    </w:p>
    <w:sectPr w:rsidR="003961EF" w:rsidRPr="00063A4C" w:rsidSect="007D63E1">
      <w:pgSz w:w="11906" w:h="16838"/>
      <w:pgMar w:top="426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EF"/>
    <w:rsid w:val="00063A4C"/>
    <w:rsid w:val="001B5BAF"/>
    <w:rsid w:val="001E4C13"/>
    <w:rsid w:val="0033422C"/>
    <w:rsid w:val="003479FF"/>
    <w:rsid w:val="00372849"/>
    <w:rsid w:val="00374B84"/>
    <w:rsid w:val="003961EF"/>
    <w:rsid w:val="00411F0E"/>
    <w:rsid w:val="00417FEF"/>
    <w:rsid w:val="004A65F5"/>
    <w:rsid w:val="00732040"/>
    <w:rsid w:val="007D63E1"/>
    <w:rsid w:val="009C7D9F"/>
    <w:rsid w:val="009F104C"/>
    <w:rsid w:val="00A26112"/>
    <w:rsid w:val="00A86A6E"/>
    <w:rsid w:val="00D428AB"/>
    <w:rsid w:val="00DD4955"/>
    <w:rsid w:val="00DE0387"/>
    <w:rsid w:val="00F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5E2C"/>
  <w15:docId w15:val="{9BC4E7E5-0906-4403-8C1F-DE3827D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f6">
    <w:name w:val="Table Grid"/>
    <w:basedOn w:val="a1"/>
    <w:uiPriority w:val="39"/>
    <w:rsid w:val="007D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ICzNNORMynOt8s4iDCoELokdA==">AMUW2mVZqeSgKmBG4a+JkyMWYXTltvhPgGO3/c8uIpuSrgIkLHJKJo1Jj5MrR/52+TU2ihTppvLVBce4D4AksaRIpmb2htzzqleP8ymw5vLuNXaj59GJfWc9dUhaUL+sxQuYOv64qu1a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18</cp:revision>
  <dcterms:created xsi:type="dcterms:W3CDTF">2022-12-12T14:13:00Z</dcterms:created>
  <dcterms:modified xsi:type="dcterms:W3CDTF">2022-12-14T09:01:00Z</dcterms:modified>
</cp:coreProperties>
</file>